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ED840" w14:textId="1B22782F" w:rsidR="00F368DC" w:rsidRPr="00CC6636" w:rsidRDefault="003A4129" w:rsidP="00E82199">
      <w:pPr>
        <w:jc w:val="both"/>
        <w:rPr>
          <w:b/>
          <w:sz w:val="28"/>
          <w:szCs w:val="28"/>
        </w:rPr>
      </w:pPr>
      <w:r w:rsidRPr="00CC6636">
        <w:rPr>
          <w:bCs/>
          <w:sz w:val="28"/>
          <w:szCs w:val="28"/>
        </w:rPr>
        <w:t xml:space="preserve"> Pour</w:t>
      </w:r>
      <w:r w:rsidRPr="00CC6636">
        <w:rPr>
          <w:b/>
          <w:sz w:val="28"/>
          <w:szCs w:val="28"/>
        </w:rPr>
        <w:t xml:space="preserve"> une initiative franco-allemande</w:t>
      </w:r>
      <w:r w:rsidR="00813A98" w:rsidRPr="00CC6636">
        <w:rPr>
          <w:b/>
          <w:sz w:val="28"/>
          <w:szCs w:val="28"/>
        </w:rPr>
        <w:t xml:space="preserve"> de</w:t>
      </w:r>
      <w:r w:rsidR="00BB17F6" w:rsidRPr="00CC6636">
        <w:rPr>
          <w:b/>
          <w:sz w:val="28"/>
          <w:szCs w:val="28"/>
        </w:rPr>
        <w:t>s Banques Centrales</w:t>
      </w:r>
      <w:r w:rsidRPr="00CC6636">
        <w:rPr>
          <w:b/>
          <w:sz w:val="28"/>
          <w:szCs w:val="28"/>
        </w:rPr>
        <w:t xml:space="preserve"> en faveur des fonds propres des </w:t>
      </w:r>
      <w:r w:rsidR="00D4154C" w:rsidRPr="00CC6636">
        <w:rPr>
          <w:b/>
          <w:sz w:val="28"/>
          <w:szCs w:val="28"/>
        </w:rPr>
        <w:t>« </w:t>
      </w:r>
      <w:r w:rsidR="00BD6B35" w:rsidRPr="00CC6636">
        <w:rPr>
          <w:b/>
          <w:sz w:val="28"/>
          <w:szCs w:val="28"/>
        </w:rPr>
        <w:t>E</w:t>
      </w:r>
      <w:r w:rsidRPr="00CC6636">
        <w:rPr>
          <w:b/>
          <w:sz w:val="28"/>
          <w:szCs w:val="28"/>
        </w:rPr>
        <w:t xml:space="preserve">ntreprises de </w:t>
      </w:r>
      <w:r w:rsidR="00BD6B35" w:rsidRPr="00CC6636">
        <w:rPr>
          <w:b/>
          <w:sz w:val="28"/>
          <w:szCs w:val="28"/>
        </w:rPr>
        <w:t>T</w:t>
      </w:r>
      <w:r w:rsidRPr="00CC6636">
        <w:rPr>
          <w:b/>
          <w:sz w:val="28"/>
          <w:szCs w:val="28"/>
        </w:rPr>
        <w:t xml:space="preserve">aille </w:t>
      </w:r>
      <w:r w:rsidR="00BD6B35" w:rsidRPr="00CC6636">
        <w:rPr>
          <w:b/>
          <w:sz w:val="28"/>
          <w:szCs w:val="28"/>
        </w:rPr>
        <w:t>M</w:t>
      </w:r>
      <w:r w:rsidRPr="00CC6636">
        <w:rPr>
          <w:b/>
          <w:sz w:val="28"/>
          <w:szCs w:val="28"/>
        </w:rPr>
        <w:t>oyenne</w:t>
      </w:r>
      <w:r w:rsidR="00D4154C" w:rsidRPr="00CC6636">
        <w:rPr>
          <w:b/>
          <w:sz w:val="28"/>
          <w:szCs w:val="28"/>
        </w:rPr>
        <w:t> »</w:t>
      </w:r>
      <w:r w:rsidR="00BD6B35" w:rsidRPr="00CC6636">
        <w:rPr>
          <w:b/>
          <w:sz w:val="28"/>
          <w:szCs w:val="28"/>
        </w:rPr>
        <w:t xml:space="preserve"> (</w:t>
      </w:r>
      <w:r w:rsidR="00D4154C" w:rsidRPr="00CC6636">
        <w:rPr>
          <w:b/>
          <w:sz w:val="28"/>
          <w:szCs w:val="28"/>
        </w:rPr>
        <w:t>« </w:t>
      </w:r>
      <w:r w:rsidR="00BD6B35" w:rsidRPr="00CC6636">
        <w:rPr>
          <w:b/>
          <w:sz w:val="28"/>
          <w:szCs w:val="28"/>
        </w:rPr>
        <w:t>ETI</w:t>
      </w:r>
      <w:r w:rsidR="00D4154C" w:rsidRPr="00CC6636">
        <w:rPr>
          <w:b/>
          <w:sz w:val="28"/>
          <w:szCs w:val="28"/>
        </w:rPr>
        <w:t> »</w:t>
      </w:r>
      <w:r w:rsidR="00BD6B35" w:rsidRPr="00CC6636">
        <w:rPr>
          <w:b/>
          <w:sz w:val="28"/>
          <w:szCs w:val="28"/>
        </w:rPr>
        <w:t xml:space="preserve">) et du </w:t>
      </w:r>
      <w:r w:rsidR="00D4154C" w:rsidRPr="00CC6636">
        <w:rPr>
          <w:b/>
          <w:sz w:val="28"/>
          <w:szCs w:val="28"/>
        </w:rPr>
        <w:t>« </w:t>
      </w:r>
      <w:r w:rsidR="00BD6B35" w:rsidRPr="00CC6636">
        <w:rPr>
          <w:b/>
          <w:sz w:val="28"/>
          <w:szCs w:val="28"/>
        </w:rPr>
        <w:t>Mittelstand</w:t>
      </w:r>
      <w:r w:rsidR="00D4154C" w:rsidRPr="00CC6636">
        <w:rPr>
          <w:b/>
          <w:sz w:val="28"/>
          <w:szCs w:val="28"/>
        </w:rPr>
        <w:t> »</w:t>
      </w:r>
      <w:r w:rsidRPr="00CC6636">
        <w:rPr>
          <w:b/>
          <w:sz w:val="28"/>
          <w:szCs w:val="28"/>
        </w:rPr>
        <w:t>.</w:t>
      </w:r>
      <w:r w:rsidR="009079D8" w:rsidRPr="00CC6636">
        <w:rPr>
          <w:b/>
          <w:sz w:val="28"/>
          <w:szCs w:val="28"/>
        </w:rPr>
        <w:t xml:space="preserve"> Gérard Valin (*</w:t>
      </w:r>
      <w:r w:rsidR="00F00CD5" w:rsidRPr="00CC6636">
        <w:rPr>
          <w:b/>
          <w:sz w:val="28"/>
          <w:szCs w:val="28"/>
        </w:rPr>
        <w:t>)</w:t>
      </w:r>
      <w:r w:rsidR="00BD6B35" w:rsidRPr="00CC6636">
        <w:rPr>
          <w:b/>
          <w:sz w:val="28"/>
          <w:szCs w:val="28"/>
        </w:rPr>
        <w:t xml:space="preserve"> </w:t>
      </w:r>
      <w:r w:rsidR="00016B42" w:rsidRPr="00CC6636">
        <w:rPr>
          <w:b/>
          <w:sz w:val="28"/>
          <w:szCs w:val="28"/>
        </w:rPr>
        <w:t>-</w:t>
      </w:r>
      <w:r w:rsidR="00BD6B35" w:rsidRPr="00CC6636">
        <w:rPr>
          <w:b/>
          <w:sz w:val="28"/>
          <w:szCs w:val="28"/>
        </w:rPr>
        <w:t xml:space="preserve"> </w:t>
      </w:r>
      <w:r w:rsidR="000269D7" w:rsidRPr="00CC6636">
        <w:rPr>
          <w:b/>
          <w:sz w:val="28"/>
          <w:szCs w:val="28"/>
        </w:rPr>
        <w:t>Novembre</w:t>
      </w:r>
      <w:r w:rsidR="00016B42" w:rsidRPr="00CC6636">
        <w:rPr>
          <w:b/>
          <w:sz w:val="28"/>
          <w:szCs w:val="28"/>
        </w:rPr>
        <w:t xml:space="preserve"> 2020</w:t>
      </w:r>
    </w:p>
    <w:p w14:paraId="4E81C7CF" w14:textId="63DB33ED" w:rsidR="008B43D7" w:rsidRDefault="008B43D7" w:rsidP="00E82199">
      <w:pPr>
        <w:jc w:val="both"/>
        <w:rPr>
          <w:b/>
        </w:rPr>
      </w:pPr>
    </w:p>
    <w:p w14:paraId="6B64023B" w14:textId="428716D0" w:rsidR="008B43D7" w:rsidRPr="008B43D7" w:rsidRDefault="008B43D7" w:rsidP="00E82199">
      <w:pPr>
        <w:jc w:val="both"/>
        <w:rPr>
          <w:b/>
          <w:i/>
          <w:iCs/>
        </w:rPr>
      </w:pPr>
      <w:r w:rsidRPr="008B43D7">
        <w:rPr>
          <w:b/>
          <w:i/>
          <w:iCs/>
        </w:rPr>
        <w:t>« Evoluer, c’est tirer profit des situations de crise pour atteindre de nouveaux paliers d’organisation et de comportements, ce que la vie sur les continents a imposé aux animaux terrestres</w:t>
      </w:r>
      <w:r>
        <w:rPr>
          <w:b/>
          <w:i/>
          <w:iCs/>
        </w:rPr>
        <w:t>.</w:t>
      </w:r>
      <w:r w:rsidRPr="008B43D7">
        <w:rPr>
          <w:b/>
          <w:i/>
          <w:iCs/>
        </w:rPr>
        <w:t> »</w:t>
      </w:r>
    </w:p>
    <w:p w14:paraId="32C3ECDD" w14:textId="58CE6A2D" w:rsidR="008B43D7" w:rsidRDefault="008B43D7" w:rsidP="00E82199">
      <w:pPr>
        <w:jc w:val="both"/>
        <w:rPr>
          <w:b/>
          <w:i/>
          <w:iCs/>
        </w:rPr>
      </w:pPr>
      <w:r>
        <w:rPr>
          <w:b/>
          <w:i/>
          <w:iCs/>
        </w:rPr>
        <w:t xml:space="preserve">  </w:t>
      </w:r>
      <w:r w:rsidRPr="008B43D7">
        <w:rPr>
          <w:b/>
          <w:i/>
          <w:iCs/>
        </w:rPr>
        <w:t>Jean-Marie</w:t>
      </w:r>
      <w:r w:rsidR="0008713E">
        <w:rPr>
          <w:b/>
          <w:i/>
          <w:iCs/>
        </w:rPr>
        <w:t xml:space="preserve"> </w:t>
      </w:r>
      <w:r w:rsidRPr="008B43D7">
        <w:rPr>
          <w:b/>
          <w:i/>
          <w:iCs/>
        </w:rPr>
        <w:t>Pelt</w:t>
      </w:r>
      <w:r w:rsidR="0008713E">
        <w:rPr>
          <w:b/>
          <w:i/>
          <w:iCs/>
        </w:rPr>
        <w:t xml:space="preserve"> </w:t>
      </w:r>
      <w:r w:rsidR="00FF39C3">
        <w:rPr>
          <w:b/>
          <w:i/>
          <w:iCs/>
        </w:rPr>
        <w:t xml:space="preserve">, </w:t>
      </w:r>
      <w:r w:rsidR="00965D29">
        <w:rPr>
          <w:b/>
          <w:i/>
          <w:iCs/>
        </w:rPr>
        <w:t xml:space="preserve"> biologiste</w:t>
      </w:r>
    </w:p>
    <w:p w14:paraId="4E99376C" w14:textId="65C75E03" w:rsidR="00965D29" w:rsidRDefault="00965D29" w:rsidP="00E82199">
      <w:pPr>
        <w:jc w:val="both"/>
        <w:rPr>
          <w:b/>
          <w:i/>
          <w:iCs/>
        </w:rPr>
      </w:pPr>
      <w:r>
        <w:rPr>
          <w:b/>
          <w:i/>
          <w:iCs/>
        </w:rPr>
        <w:t>« Plus de conscience appelle plus de science »</w:t>
      </w:r>
    </w:p>
    <w:p w14:paraId="2C6E95EC" w14:textId="11E47AF2" w:rsidR="00965D29" w:rsidRPr="008B43D7" w:rsidRDefault="00965D29" w:rsidP="00E82199">
      <w:pPr>
        <w:jc w:val="both"/>
        <w:rPr>
          <w:b/>
          <w:i/>
          <w:iCs/>
        </w:rPr>
      </w:pPr>
      <w:r>
        <w:rPr>
          <w:b/>
          <w:i/>
          <w:iCs/>
        </w:rPr>
        <w:t>Pierre-Gilles de G</w:t>
      </w:r>
      <w:r w:rsidR="00661E52">
        <w:rPr>
          <w:b/>
          <w:i/>
          <w:iCs/>
        </w:rPr>
        <w:t>en</w:t>
      </w:r>
      <w:r>
        <w:rPr>
          <w:b/>
          <w:i/>
          <w:iCs/>
        </w:rPr>
        <w:t>nes, Prix Nobel</w:t>
      </w:r>
    </w:p>
    <w:p w14:paraId="579AD8C1" w14:textId="231481E4" w:rsidR="00122622" w:rsidRDefault="00C80A11" w:rsidP="00E82199">
      <w:pPr>
        <w:jc w:val="both"/>
        <w:rPr>
          <w:sz w:val="20"/>
          <w:szCs w:val="20"/>
        </w:rPr>
      </w:pPr>
      <w:r>
        <w:t>L</w:t>
      </w:r>
      <w:r w:rsidR="00344570">
        <w:rPr>
          <w:sz w:val="20"/>
          <w:szCs w:val="20"/>
        </w:rPr>
        <w:t xml:space="preserve">a sidération </w:t>
      </w:r>
      <w:r w:rsidR="00366C7B">
        <w:rPr>
          <w:sz w:val="20"/>
          <w:szCs w:val="20"/>
        </w:rPr>
        <w:t xml:space="preserve">générale </w:t>
      </w:r>
      <w:r w:rsidR="00344570">
        <w:rPr>
          <w:sz w:val="20"/>
          <w:szCs w:val="20"/>
        </w:rPr>
        <w:t>prov</w:t>
      </w:r>
      <w:r w:rsidR="00A45345">
        <w:rPr>
          <w:sz w:val="20"/>
          <w:szCs w:val="20"/>
        </w:rPr>
        <w:t>oquée par la crise pandémique de la</w:t>
      </w:r>
      <w:r w:rsidR="00344570">
        <w:rPr>
          <w:sz w:val="20"/>
          <w:szCs w:val="20"/>
        </w:rPr>
        <w:t xml:space="preserve"> « covid</w:t>
      </w:r>
      <w:r w:rsidR="002C1062">
        <w:rPr>
          <w:sz w:val="20"/>
          <w:szCs w:val="20"/>
        </w:rPr>
        <w:t>-</w:t>
      </w:r>
      <w:r w:rsidR="00366C7B">
        <w:rPr>
          <w:sz w:val="20"/>
          <w:szCs w:val="20"/>
        </w:rPr>
        <w:t>19 » a conduit à</w:t>
      </w:r>
      <w:r w:rsidR="00344570">
        <w:rPr>
          <w:sz w:val="20"/>
          <w:szCs w:val="20"/>
        </w:rPr>
        <w:t xml:space="preserve"> une surenchère </w:t>
      </w:r>
      <w:r>
        <w:rPr>
          <w:sz w:val="20"/>
          <w:szCs w:val="20"/>
        </w:rPr>
        <w:t xml:space="preserve">mondiale </w:t>
      </w:r>
      <w:r w:rsidR="00344570">
        <w:rPr>
          <w:sz w:val="20"/>
          <w:szCs w:val="20"/>
        </w:rPr>
        <w:t xml:space="preserve">de communication tous azimuts, tant du point de vue des conséquences économiques et sociales que des remèdes financiers annoncés. L’unité </w:t>
      </w:r>
      <w:r>
        <w:rPr>
          <w:sz w:val="20"/>
          <w:szCs w:val="20"/>
        </w:rPr>
        <w:t xml:space="preserve">monétaire </w:t>
      </w:r>
      <w:r w:rsidR="00344570">
        <w:rPr>
          <w:sz w:val="20"/>
          <w:szCs w:val="20"/>
        </w:rPr>
        <w:t>utilisée</w:t>
      </w:r>
      <w:r w:rsidR="00A45345">
        <w:rPr>
          <w:sz w:val="20"/>
          <w:szCs w:val="20"/>
        </w:rPr>
        <w:t xml:space="preserve"> par les autorités publiques ne descend pas au-dessous de</w:t>
      </w:r>
      <w:r w:rsidR="00344570">
        <w:rPr>
          <w:sz w:val="20"/>
          <w:szCs w:val="20"/>
        </w:rPr>
        <w:t xml:space="preserve"> la centaine de milliards en $ ou en €, </w:t>
      </w:r>
      <w:r w:rsidR="000C55CE">
        <w:rPr>
          <w:sz w:val="20"/>
          <w:szCs w:val="20"/>
        </w:rPr>
        <w:t xml:space="preserve">soulignant à cette occasion le </w:t>
      </w:r>
      <w:r w:rsidR="00D02874">
        <w:rPr>
          <w:sz w:val="20"/>
          <w:szCs w:val="20"/>
        </w:rPr>
        <w:t xml:space="preserve">regrettable </w:t>
      </w:r>
      <w:r w:rsidR="000C55CE">
        <w:rPr>
          <w:sz w:val="20"/>
          <w:szCs w:val="20"/>
        </w:rPr>
        <w:t>suivisme européen par rapport aux Etats-Unis</w:t>
      </w:r>
      <w:r w:rsidR="003A4129">
        <w:rPr>
          <w:sz w:val="20"/>
          <w:szCs w:val="20"/>
        </w:rPr>
        <w:t>, notamment du fait de l</w:t>
      </w:r>
      <w:r w:rsidR="002758C6">
        <w:rPr>
          <w:sz w:val="20"/>
          <w:szCs w:val="20"/>
        </w:rPr>
        <w:t>’</w:t>
      </w:r>
      <w:r w:rsidR="003A4129">
        <w:rPr>
          <w:sz w:val="20"/>
          <w:szCs w:val="20"/>
        </w:rPr>
        <w:t>a</w:t>
      </w:r>
      <w:r w:rsidR="002758C6">
        <w:rPr>
          <w:sz w:val="20"/>
          <w:szCs w:val="20"/>
        </w:rPr>
        <w:t>ttitude de la</w:t>
      </w:r>
      <w:r w:rsidR="003A4129">
        <w:rPr>
          <w:sz w:val="20"/>
          <w:szCs w:val="20"/>
        </w:rPr>
        <w:t xml:space="preserve"> </w:t>
      </w:r>
      <w:r w:rsidR="00AC521C">
        <w:rPr>
          <w:sz w:val="20"/>
          <w:szCs w:val="20"/>
        </w:rPr>
        <w:t xml:space="preserve">Banque Centrale Européenne </w:t>
      </w:r>
      <w:r w:rsidR="00A62973">
        <w:rPr>
          <w:sz w:val="20"/>
          <w:szCs w:val="20"/>
        </w:rPr>
        <w:t>(</w:t>
      </w:r>
      <w:r w:rsidR="00183284">
        <w:rPr>
          <w:sz w:val="20"/>
          <w:szCs w:val="20"/>
        </w:rPr>
        <w:t>« </w:t>
      </w:r>
      <w:r w:rsidR="00A62973">
        <w:rPr>
          <w:sz w:val="20"/>
          <w:szCs w:val="20"/>
        </w:rPr>
        <w:t>BCE</w:t>
      </w:r>
      <w:r w:rsidR="00183284">
        <w:rPr>
          <w:sz w:val="20"/>
          <w:szCs w:val="20"/>
        </w:rPr>
        <w:t> »</w:t>
      </w:r>
      <w:r w:rsidR="00A62973">
        <w:rPr>
          <w:sz w:val="20"/>
          <w:szCs w:val="20"/>
        </w:rPr>
        <w:t>) de Francfort qui contrôle</w:t>
      </w:r>
      <w:r w:rsidR="00883E85">
        <w:rPr>
          <w:sz w:val="20"/>
          <w:szCs w:val="20"/>
        </w:rPr>
        <w:t xml:space="preserve"> les institutions financières de</w:t>
      </w:r>
      <w:r w:rsidR="00AC521C">
        <w:rPr>
          <w:sz w:val="20"/>
          <w:szCs w:val="20"/>
        </w:rPr>
        <w:t xml:space="preserve"> la zone euro</w:t>
      </w:r>
      <w:r w:rsidR="000743A3">
        <w:rPr>
          <w:sz w:val="20"/>
          <w:szCs w:val="20"/>
        </w:rPr>
        <w:t>. L</w:t>
      </w:r>
      <w:r w:rsidR="000C55CE">
        <w:rPr>
          <w:sz w:val="20"/>
          <w:szCs w:val="20"/>
        </w:rPr>
        <w:t xml:space="preserve">es </w:t>
      </w:r>
      <w:r w:rsidR="00EE6205">
        <w:rPr>
          <w:sz w:val="20"/>
          <w:szCs w:val="20"/>
        </w:rPr>
        <w:t xml:space="preserve">premiers </w:t>
      </w:r>
      <w:r w:rsidR="000C55CE">
        <w:rPr>
          <w:sz w:val="20"/>
          <w:szCs w:val="20"/>
        </w:rPr>
        <w:t>effets d’annonce</w:t>
      </w:r>
      <w:r>
        <w:rPr>
          <w:sz w:val="20"/>
          <w:szCs w:val="20"/>
        </w:rPr>
        <w:t>s</w:t>
      </w:r>
      <w:r w:rsidR="000C55CE">
        <w:rPr>
          <w:sz w:val="20"/>
          <w:szCs w:val="20"/>
        </w:rPr>
        <w:t xml:space="preserve"> </w:t>
      </w:r>
      <w:r w:rsidR="000743A3">
        <w:rPr>
          <w:sz w:val="20"/>
          <w:szCs w:val="20"/>
        </w:rPr>
        <w:t xml:space="preserve">spectaculaires </w:t>
      </w:r>
      <w:r w:rsidR="00B11356">
        <w:rPr>
          <w:sz w:val="20"/>
          <w:szCs w:val="20"/>
        </w:rPr>
        <w:t>avaient</w:t>
      </w:r>
      <w:r w:rsidR="000C55CE">
        <w:rPr>
          <w:sz w:val="20"/>
          <w:szCs w:val="20"/>
        </w:rPr>
        <w:t xml:space="preserve"> en com</w:t>
      </w:r>
      <w:r w:rsidR="000C21A7">
        <w:rPr>
          <w:sz w:val="20"/>
          <w:szCs w:val="20"/>
        </w:rPr>
        <w:t>mun une imprécision</w:t>
      </w:r>
      <w:r w:rsidR="00016B42">
        <w:rPr>
          <w:sz w:val="20"/>
          <w:szCs w:val="20"/>
        </w:rPr>
        <w:t xml:space="preserve"> </w:t>
      </w:r>
      <w:r w:rsidR="000C21A7">
        <w:rPr>
          <w:sz w:val="20"/>
          <w:szCs w:val="20"/>
        </w:rPr>
        <w:t>générale</w:t>
      </w:r>
      <w:r w:rsidR="000C55CE">
        <w:rPr>
          <w:sz w:val="20"/>
          <w:szCs w:val="20"/>
        </w:rPr>
        <w:t xml:space="preserve"> sur les origines et les destinations des fonds, </w:t>
      </w:r>
      <w:r w:rsidR="000C21A7">
        <w:rPr>
          <w:sz w:val="20"/>
          <w:szCs w:val="20"/>
        </w:rPr>
        <w:t>en l’a</w:t>
      </w:r>
      <w:r w:rsidR="00EE6205">
        <w:rPr>
          <w:sz w:val="20"/>
          <w:szCs w:val="20"/>
        </w:rPr>
        <w:t>bsence de stratégies ciblées</w:t>
      </w:r>
      <w:r w:rsidR="000C21A7">
        <w:rPr>
          <w:sz w:val="20"/>
          <w:szCs w:val="20"/>
        </w:rPr>
        <w:t>,</w:t>
      </w:r>
      <w:r w:rsidR="00071B2C">
        <w:rPr>
          <w:sz w:val="20"/>
          <w:szCs w:val="20"/>
        </w:rPr>
        <w:t xml:space="preserve"> remplacées par un « sauve-qui-</w:t>
      </w:r>
      <w:r w:rsidR="00D001CB">
        <w:rPr>
          <w:sz w:val="20"/>
          <w:szCs w:val="20"/>
        </w:rPr>
        <w:t>peut » imposé par les</w:t>
      </w:r>
      <w:r w:rsidR="000C21A7">
        <w:rPr>
          <w:sz w:val="20"/>
          <w:szCs w:val="20"/>
        </w:rPr>
        <w:t xml:space="preserve"> circo</w:t>
      </w:r>
      <w:r w:rsidR="007C6C31">
        <w:rPr>
          <w:sz w:val="20"/>
          <w:szCs w:val="20"/>
        </w:rPr>
        <w:t>n</w:t>
      </w:r>
      <w:r w:rsidR="000C21A7">
        <w:rPr>
          <w:sz w:val="20"/>
          <w:szCs w:val="20"/>
        </w:rPr>
        <w:t>stance</w:t>
      </w:r>
      <w:r w:rsidR="00D001CB">
        <w:rPr>
          <w:sz w:val="20"/>
          <w:szCs w:val="20"/>
        </w:rPr>
        <w:t>s</w:t>
      </w:r>
      <w:r w:rsidR="00B11356">
        <w:rPr>
          <w:sz w:val="20"/>
          <w:szCs w:val="20"/>
        </w:rPr>
        <w:t>. Du fait d’une deuxième vague annoncée, i</w:t>
      </w:r>
      <w:r w:rsidR="00F42082">
        <w:rPr>
          <w:sz w:val="20"/>
          <w:szCs w:val="20"/>
        </w:rPr>
        <w:t>l apparaît</w:t>
      </w:r>
      <w:r w:rsidR="00D001CB">
        <w:rPr>
          <w:sz w:val="20"/>
          <w:szCs w:val="20"/>
        </w:rPr>
        <w:t xml:space="preserve"> </w:t>
      </w:r>
      <w:r w:rsidR="000743A3">
        <w:rPr>
          <w:sz w:val="20"/>
          <w:szCs w:val="20"/>
        </w:rPr>
        <w:t>aujourd’hui</w:t>
      </w:r>
      <w:r w:rsidR="00E82199">
        <w:rPr>
          <w:sz w:val="20"/>
          <w:szCs w:val="20"/>
        </w:rPr>
        <w:t xml:space="preserve"> </w:t>
      </w:r>
      <w:r>
        <w:rPr>
          <w:sz w:val="20"/>
          <w:szCs w:val="20"/>
        </w:rPr>
        <w:t>des risques significatifs</w:t>
      </w:r>
      <w:r w:rsidR="000C55CE">
        <w:rPr>
          <w:sz w:val="20"/>
          <w:szCs w:val="20"/>
        </w:rPr>
        <w:t xml:space="preserve"> de déstabilisation </w:t>
      </w:r>
      <w:r w:rsidR="008769F9">
        <w:rPr>
          <w:sz w:val="20"/>
          <w:szCs w:val="20"/>
        </w:rPr>
        <w:t xml:space="preserve">économique, financière et </w:t>
      </w:r>
      <w:r w:rsidR="000C55CE">
        <w:rPr>
          <w:sz w:val="20"/>
          <w:szCs w:val="20"/>
        </w:rPr>
        <w:t>sociale susceptibles de mettre en péril de fragiles régimes démocratiques</w:t>
      </w:r>
      <w:r w:rsidR="0083422F">
        <w:rPr>
          <w:sz w:val="20"/>
          <w:szCs w:val="20"/>
        </w:rPr>
        <w:t xml:space="preserve"> en Europe</w:t>
      </w:r>
      <w:r w:rsidR="000C55CE">
        <w:rPr>
          <w:sz w:val="20"/>
          <w:szCs w:val="20"/>
        </w:rPr>
        <w:t>.</w:t>
      </w:r>
      <w:r w:rsidR="00122622">
        <w:rPr>
          <w:sz w:val="20"/>
          <w:szCs w:val="20"/>
        </w:rPr>
        <w:t xml:space="preserve"> Les 750 milliards </w:t>
      </w:r>
      <w:r w:rsidR="00AC521C">
        <w:rPr>
          <w:sz w:val="20"/>
          <w:szCs w:val="20"/>
        </w:rPr>
        <w:t xml:space="preserve">€ </w:t>
      </w:r>
      <w:r w:rsidR="00122622">
        <w:rPr>
          <w:sz w:val="20"/>
          <w:szCs w:val="20"/>
        </w:rPr>
        <w:t>d’emprunt groupé de l’Union Européenne n’échappe</w:t>
      </w:r>
      <w:r w:rsidR="003A4129">
        <w:rPr>
          <w:sz w:val="20"/>
          <w:szCs w:val="20"/>
        </w:rPr>
        <w:t>nt</w:t>
      </w:r>
      <w:r w:rsidR="00B11356">
        <w:rPr>
          <w:sz w:val="20"/>
          <w:szCs w:val="20"/>
        </w:rPr>
        <w:t xml:space="preserve"> pas à la</w:t>
      </w:r>
      <w:r w:rsidR="00122622">
        <w:rPr>
          <w:sz w:val="20"/>
          <w:szCs w:val="20"/>
        </w:rPr>
        <w:t xml:space="preserve"> critique</w:t>
      </w:r>
      <w:r w:rsidR="00B11356">
        <w:rPr>
          <w:sz w:val="20"/>
          <w:szCs w:val="20"/>
        </w:rPr>
        <w:t xml:space="preserve"> sur les moyens mis en oeuvre</w:t>
      </w:r>
      <w:r w:rsidR="00122622">
        <w:rPr>
          <w:sz w:val="20"/>
          <w:szCs w:val="20"/>
        </w:rPr>
        <w:t xml:space="preserve">. Si cette décision communautaire de fin juillet 2020 constitue une avancée historique </w:t>
      </w:r>
      <w:r w:rsidR="00A62973">
        <w:rPr>
          <w:sz w:val="20"/>
          <w:szCs w:val="20"/>
        </w:rPr>
        <w:t xml:space="preserve">souhaitable </w:t>
      </w:r>
      <w:r w:rsidR="00122622">
        <w:rPr>
          <w:sz w:val="20"/>
          <w:szCs w:val="20"/>
        </w:rPr>
        <w:t xml:space="preserve">au plan diplomatique, ses modalités </w:t>
      </w:r>
      <w:r w:rsidR="00AC521C">
        <w:rPr>
          <w:sz w:val="20"/>
          <w:szCs w:val="20"/>
        </w:rPr>
        <w:t xml:space="preserve">concrètes </w:t>
      </w:r>
      <w:r w:rsidR="00A62973">
        <w:rPr>
          <w:sz w:val="20"/>
          <w:szCs w:val="20"/>
        </w:rPr>
        <w:t>de remboursements</w:t>
      </w:r>
      <w:r w:rsidR="00122622">
        <w:rPr>
          <w:sz w:val="20"/>
          <w:szCs w:val="20"/>
        </w:rPr>
        <w:t xml:space="preserve"> sont jusqu’ici ignorées. Son produit sera distribué aux Etats-Membres sous forme de subventions (390 milliards €) et de prêts remboursables (360 milliards €) sur une période qui s’étend jusqu’en 2023.</w:t>
      </w:r>
      <w:r w:rsidR="00BB17F6">
        <w:rPr>
          <w:sz w:val="20"/>
          <w:szCs w:val="20"/>
        </w:rPr>
        <w:t xml:space="preserve"> </w:t>
      </w:r>
      <w:r w:rsidR="00085450">
        <w:rPr>
          <w:sz w:val="20"/>
          <w:szCs w:val="20"/>
        </w:rPr>
        <w:t>La France devrait obtenir 4</w:t>
      </w:r>
      <w:r w:rsidR="00AA7CCE">
        <w:rPr>
          <w:sz w:val="20"/>
          <w:szCs w:val="20"/>
        </w:rPr>
        <w:t>0 milliards € et l’Allemagne 30 milliards</w:t>
      </w:r>
      <w:r w:rsidR="00A96EFD">
        <w:rPr>
          <w:sz w:val="20"/>
          <w:szCs w:val="20"/>
        </w:rPr>
        <w:t xml:space="preserve"> </w:t>
      </w:r>
      <w:r w:rsidR="00AA7CCE">
        <w:rPr>
          <w:sz w:val="20"/>
          <w:szCs w:val="20"/>
        </w:rPr>
        <w:t xml:space="preserve">€ sous forme d’aides </w:t>
      </w:r>
      <w:r w:rsidR="00784B1D">
        <w:rPr>
          <w:sz w:val="20"/>
          <w:szCs w:val="20"/>
        </w:rPr>
        <w:t>de Bruxelles</w:t>
      </w:r>
      <w:r w:rsidR="00EE3D4D">
        <w:rPr>
          <w:sz w:val="20"/>
          <w:szCs w:val="20"/>
        </w:rPr>
        <w:t xml:space="preserve">, ce qui peut paraître modeste par rapport aux 209 milliards € accordés à l’Italie (dont 87 milliards € </w:t>
      </w:r>
      <w:r w:rsidR="0086251F">
        <w:rPr>
          <w:sz w:val="20"/>
          <w:szCs w:val="20"/>
        </w:rPr>
        <w:t xml:space="preserve">sous forme </w:t>
      </w:r>
      <w:r w:rsidR="00EE3D4D">
        <w:rPr>
          <w:sz w:val="20"/>
          <w:szCs w:val="20"/>
        </w:rPr>
        <w:t>de subventions)</w:t>
      </w:r>
      <w:r w:rsidR="00AA7CCE">
        <w:rPr>
          <w:sz w:val="20"/>
          <w:szCs w:val="20"/>
        </w:rPr>
        <w:t xml:space="preserve">. </w:t>
      </w:r>
      <w:r w:rsidR="00122622">
        <w:rPr>
          <w:sz w:val="20"/>
          <w:szCs w:val="20"/>
        </w:rPr>
        <w:t>Les bénéfic</w:t>
      </w:r>
      <w:r w:rsidR="00042556">
        <w:rPr>
          <w:sz w:val="20"/>
          <w:szCs w:val="20"/>
        </w:rPr>
        <w:t xml:space="preserve">iaires finaux ne percevront </w:t>
      </w:r>
      <w:r w:rsidR="00122622">
        <w:rPr>
          <w:sz w:val="20"/>
          <w:szCs w:val="20"/>
        </w:rPr>
        <w:t>ce</w:t>
      </w:r>
      <w:r w:rsidR="00A62973">
        <w:rPr>
          <w:sz w:val="20"/>
          <w:szCs w:val="20"/>
        </w:rPr>
        <w:t xml:space="preserve">tte manne qu’à l’issue d’un </w:t>
      </w:r>
      <w:r w:rsidR="00122622">
        <w:rPr>
          <w:sz w:val="20"/>
          <w:szCs w:val="20"/>
        </w:rPr>
        <w:t>périple bureaucratique</w:t>
      </w:r>
      <w:r w:rsidR="00C2457A">
        <w:rPr>
          <w:sz w:val="20"/>
          <w:szCs w:val="20"/>
        </w:rPr>
        <w:t xml:space="preserve"> dont les priorités ne paraissent pas clairement établies</w:t>
      </w:r>
      <w:r w:rsidR="00883E85">
        <w:rPr>
          <w:sz w:val="20"/>
          <w:szCs w:val="20"/>
        </w:rPr>
        <w:t>, en particulier en matière de transition écologique</w:t>
      </w:r>
      <w:r w:rsidR="00C2457A">
        <w:rPr>
          <w:sz w:val="20"/>
          <w:szCs w:val="20"/>
        </w:rPr>
        <w:t xml:space="preserve">. Au total, l’endettement public et privé </w:t>
      </w:r>
      <w:r w:rsidR="00AC521C">
        <w:rPr>
          <w:sz w:val="20"/>
          <w:szCs w:val="20"/>
        </w:rPr>
        <w:t xml:space="preserve">en Europe </w:t>
      </w:r>
      <w:r w:rsidR="00A62973">
        <w:rPr>
          <w:sz w:val="20"/>
          <w:szCs w:val="20"/>
        </w:rPr>
        <w:t>se trouvera</w:t>
      </w:r>
      <w:r w:rsidR="00C2457A">
        <w:rPr>
          <w:sz w:val="20"/>
          <w:szCs w:val="20"/>
        </w:rPr>
        <w:t xml:space="preserve"> </w:t>
      </w:r>
      <w:r w:rsidR="00A62973">
        <w:rPr>
          <w:sz w:val="20"/>
          <w:szCs w:val="20"/>
        </w:rPr>
        <w:t>re</w:t>
      </w:r>
      <w:r w:rsidR="00C2457A">
        <w:rPr>
          <w:sz w:val="20"/>
          <w:szCs w:val="20"/>
        </w:rPr>
        <w:t xml:space="preserve">poussé </w:t>
      </w:r>
      <w:r w:rsidR="00883E85">
        <w:rPr>
          <w:sz w:val="20"/>
          <w:szCs w:val="20"/>
        </w:rPr>
        <w:t>au-delà des</w:t>
      </w:r>
      <w:r w:rsidR="00C2457A">
        <w:rPr>
          <w:sz w:val="20"/>
          <w:szCs w:val="20"/>
        </w:rPr>
        <w:t xml:space="preserve"> limites des capacités de remboursement normalement </w:t>
      </w:r>
      <w:r w:rsidR="00883E85">
        <w:rPr>
          <w:sz w:val="20"/>
          <w:szCs w:val="20"/>
        </w:rPr>
        <w:t>tolérables</w:t>
      </w:r>
      <w:r w:rsidR="00C2457A">
        <w:rPr>
          <w:sz w:val="20"/>
          <w:szCs w:val="20"/>
        </w:rPr>
        <w:t>.</w:t>
      </w:r>
    </w:p>
    <w:p w14:paraId="6A7A4538" w14:textId="0450A4F7" w:rsidR="009F7EF7" w:rsidRDefault="00BB17F6" w:rsidP="00E82199">
      <w:pPr>
        <w:jc w:val="both"/>
        <w:rPr>
          <w:sz w:val="20"/>
          <w:szCs w:val="20"/>
        </w:rPr>
      </w:pPr>
      <w:r>
        <w:rPr>
          <w:sz w:val="20"/>
          <w:szCs w:val="20"/>
        </w:rPr>
        <w:t xml:space="preserve">Les </w:t>
      </w:r>
      <w:r w:rsidR="000743A3">
        <w:rPr>
          <w:sz w:val="20"/>
          <w:szCs w:val="20"/>
        </w:rPr>
        <w:t xml:space="preserve">principales </w:t>
      </w:r>
      <w:r>
        <w:rPr>
          <w:sz w:val="20"/>
          <w:szCs w:val="20"/>
        </w:rPr>
        <w:t>réactions</w:t>
      </w:r>
      <w:r w:rsidR="000743A3">
        <w:rPr>
          <w:sz w:val="20"/>
          <w:szCs w:val="20"/>
        </w:rPr>
        <w:t xml:space="preserve"> </w:t>
      </w:r>
      <w:r w:rsidR="00AC521C">
        <w:rPr>
          <w:sz w:val="20"/>
          <w:szCs w:val="20"/>
        </w:rPr>
        <w:t>à la crise sanitaire</w:t>
      </w:r>
      <w:r w:rsidR="000743A3">
        <w:rPr>
          <w:sz w:val="20"/>
          <w:szCs w:val="20"/>
        </w:rPr>
        <w:t>,</w:t>
      </w:r>
      <w:r>
        <w:rPr>
          <w:sz w:val="20"/>
          <w:szCs w:val="20"/>
        </w:rPr>
        <w:t xml:space="preserve"> plus </w:t>
      </w:r>
      <w:r w:rsidR="00B229F6">
        <w:rPr>
          <w:sz w:val="20"/>
          <w:szCs w:val="20"/>
        </w:rPr>
        <w:t xml:space="preserve">concentrées et </w:t>
      </w:r>
      <w:r w:rsidR="00D01B0B">
        <w:rPr>
          <w:sz w:val="20"/>
          <w:szCs w:val="20"/>
        </w:rPr>
        <w:t xml:space="preserve">plus </w:t>
      </w:r>
      <w:r>
        <w:rPr>
          <w:sz w:val="20"/>
          <w:szCs w:val="20"/>
        </w:rPr>
        <w:t>rapides en Allemagne qu’e</w:t>
      </w:r>
      <w:r w:rsidR="00122622">
        <w:rPr>
          <w:sz w:val="20"/>
          <w:szCs w:val="20"/>
        </w:rPr>
        <w:t xml:space="preserve">n </w:t>
      </w:r>
      <w:r w:rsidR="00F73EA1">
        <w:rPr>
          <w:sz w:val="20"/>
          <w:szCs w:val="20"/>
        </w:rPr>
        <w:t>France,</w:t>
      </w:r>
      <w:r w:rsidR="00122622">
        <w:rPr>
          <w:sz w:val="20"/>
          <w:szCs w:val="20"/>
        </w:rPr>
        <w:t xml:space="preserve"> paraiss</w:t>
      </w:r>
      <w:r w:rsidR="00F60F56">
        <w:rPr>
          <w:sz w:val="20"/>
          <w:szCs w:val="20"/>
        </w:rPr>
        <w:t>ai</w:t>
      </w:r>
      <w:r w:rsidR="00122622">
        <w:rPr>
          <w:sz w:val="20"/>
          <w:szCs w:val="20"/>
        </w:rPr>
        <w:t xml:space="preserve">ent </w:t>
      </w:r>
      <w:r w:rsidR="000743A3">
        <w:rPr>
          <w:sz w:val="20"/>
          <w:szCs w:val="20"/>
        </w:rPr>
        <w:t>pourtant</w:t>
      </w:r>
      <w:r w:rsidR="002758C6">
        <w:rPr>
          <w:sz w:val="20"/>
          <w:szCs w:val="20"/>
        </w:rPr>
        <w:t>, en première analyse,</w:t>
      </w:r>
      <w:r>
        <w:rPr>
          <w:sz w:val="20"/>
          <w:szCs w:val="20"/>
        </w:rPr>
        <w:t xml:space="preserve"> à la hauteur des enjeux</w:t>
      </w:r>
      <w:r w:rsidR="00AC521C">
        <w:rPr>
          <w:sz w:val="20"/>
          <w:szCs w:val="20"/>
        </w:rPr>
        <w:t xml:space="preserve"> économiques, financiers et sociaux</w:t>
      </w:r>
      <w:r>
        <w:rPr>
          <w:sz w:val="20"/>
          <w:szCs w:val="20"/>
        </w:rPr>
        <w:t>.</w:t>
      </w:r>
      <w:r w:rsidR="00B930FE">
        <w:rPr>
          <w:sz w:val="20"/>
          <w:szCs w:val="20"/>
        </w:rPr>
        <w:t xml:space="preserve"> </w:t>
      </w:r>
      <w:r w:rsidR="00EE6205">
        <w:rPr>
          <w:sz w:val="20"/>
          <w:szCs w:val="20"/>
        </w:rPr>
        <w:t>Il s’agissait en effet d’éviter en priorité les faillites en chaine</w:t>
      </w:r>
      <w:r w:rsidR="00F42082">
        <w:rPr>
          <w:sz w:val="20"/>
          <w:szCs w:val="20"/>
        </w:rPr>
        <w:t xml:space="preserve"> des entreprises </w:t>
      </w:r>
      <w:r w:rsidR="00EE6205">
        <w:rPr>
          <w:sz w:val="20"/>
          <w:szCs w:val="20"/>
        </w:rPr>
        <w:t xml:space="preserve">et le maintien des revenus de particuliers. </w:t>
      </w:r>
      <w:r w:rsidR="000743A3">
        <w:rPr>
          <w:sz w:val="20"/>
          <w:szCs w:val="20"/>
        </w:rPr>
        <w:t>A Berlin, un plan a institué</w:t>
      </w:r>
      <w:r w:rsidR="002758C6">
        <w:rPr>
          <w:sz w:val="20"/>
          <w:szCs w:val="20"/>
        </w:rPr>
        <w:t>,</w:t>
      </w:r>
      <w:r w:rsidR="00F42082">
        <w:rPr>
          <w:sz w:val="20"/>
          <w:szCs w:val="20"/>
        </w:rPr>
        <w:t xml:space="preserve"> dès </w:t>
      </w:r>
      <w:r w:rsidR="000743A3">
        <w:rPr>
          <w:sz w:val="20"/>
          <w:szCs w:val="20"/>
        </w:rPr>
        <w:t>le 20 mars 2020 le</w:t>
      </w:r>
      <w:r w:rsidR="00A62973">
        <w:rPr>
          <w:sz w:val="20"/>
          <w:szCs w:val="20"/>
        </w:rPr>
        <w:t xml:space="preserve"> </w:t>
      </w:r>
      <w:r w:rsidR="000743A3">
        <w:rPr>
          <w:sz w:val="20"/>
          <w:szCs w:val="20"/>
        </w:rPr>
        <w:t xml:space="preserve">« Wirtschaftsstabilisierungsfonds » qui prenait la suite du « Finanzmarktstabilisierungsfonds » </w:t>
      </w:r>
      <w:r w:rsidR="007C6C31">
        <w:rPr>
          <w:sz w:val="20"/>
          <w:szCs w:val="20"/>
        </w:rPr>
        <w:t>(« SOFFIN »)</w:t>
      </w:r>
      <w:r w:rsidR="00BF3239">
        <w:rPr>
          <w:sz w:val="20"/>
          <w:szCs w:val="20"/>
        </w:rPr>
        <w:t xml:space="preserve">, </w:t>
      </w:r>
      <w:r w:rsidR="000743A3">
        <w:rPr>
          <w:sz w:val="20"/>
          <w:szCs w:val="20"/>
        </w:rPr>
        <w:t>censé lutter contre les effets de la crise de 2008.</w:t>
      </w:r>
      <w:r w:rsidR="00A62973">
        <w:rPr>
          <w:sz w:val="20"/>
          <w:szCs w:val="20"/>
        </w:rPr>
        <w:t xml:space="preserve"> Ce premier dispositif</w:t>
      </w:r>
      <w:r w:rsidR="002758C6">
        <w:rPr>
          <w:sz w:val="20"/>
          <w:szCs w:val="20"/>
        </w:rPr>
        <w:t xml:space="preserve"> comportait des garanties de financement</w:t>
      </w:r>
      <w:r w:rsidR="00F42082">
        <w:rPr>
          <w:sz w:val="20"/>
          <w:szCs w:val="20"/>
        </w:rPr>
        <w:t>s</w:t>
      </w:r>
      <w:r w:rsidR="002758C6">
        <w:rPr>
          <w:sz w:val="20"/>
          <w:szCs w:val="20"/>
        </w:rPr>
        <w:t xml:space="preserve"> </w:t>
      </w:r>
      <w:r w:rsidR="00A62973">
        <w:rPr>
          <w:sz w:val="20"/>
          <w:szCs w:val="20"/>
        </w:rPr>
        <w:t xml:space="preserve">publics </w:t>
      </w:r>
      <w:r w:rsidR="002758C6">
        <w:rPr>
          <w:sz w:val="20"/>
          <w:szCs w:val="20"/>
        </w:rPr>
        <w:t>à hauteur de 400</w:t>
      </w:r>
      <w:r w:rsidR="009F7EF7">
        <w:rPr>
          <w:sz w:val="20"/>
          <w:szCs w:val="20"/>
        </w:rPr>
        <w:t xml:space="preserve"> </w:t>
      </w:r>
      <w:r w:rsidR="002758C6">
        <w:rPr>
          <w:sz w:val="20"/>
          <w:szCs w:val="20"/>
        </w:rPr>
        <w:t>milliards</w:t>
      </w:r>
      <w:r w:rsidR="009F7EF7">
        <w:rPr>
          <w:sz w:val="20"/>
          <w:szCs w:val="20"/>
        </w:rPr>
        <w:t xml:space="preserve"> </w:t>
      </w:r>
      <w:r w:rsidR="002758C6">
        <w:rPr>
          <w:sz w:val="20"/>
          <w:szCs w:val="20"/>
        </w:rPr>
        <w:t xml:space="preserve">€, ainsi que des apports </w:t>
      </w:r>
      <w:r w:rsidR="000C21A7">
        <w:rPr>
          <w:sz w:val="20"/>
          <w:szCs w:val="20"/>
        </w:rPr>
        <w:t xml:space="preserve">spécifiques </w:t>
      </w:r>
      <w:r w:rsidR="002758C6">
        <w:rPr>
          <w:sz w:val="20"/>
          <w:szCs w:val="20"/>
        </w:rPr>
        <w:t>en fonds propres</w:t>
      </w:r>
      <w:r w:rsidR="00EE6205">
        <w:rPr>
          <w:sz w:val="20"/>
          <w:szCs w:val="20"/>
        </w:rPr>
        <w:t xml:space="preserve"> des entreprises </w:t>
      </w:r>
      <w:r w:rsidR="00F42082">
        <w:rPr>
          <w:sz w:val="20"/>
          <w:szCs w:val="20"/>
        </w:rPr>
        <w:t xml:space="preserve">pour </w:t>
      </w:r>
      <w:r w:rsidR="002758C6">
        <w:rPr>
          <w:sz w:val="20"/>
          <w:szCs w:val="20"/>
        </w:rPr>
        <w:t>100</w:t>
      </w:r>
      <w:r w:rsidR="009F7EF7">
        <w:rPr>
          <w:sz w:val="20"/>
          <w:szCs w:val="20"/>
        </w:rPr>
        <w:t xml:space="preserve"> </w:t>
      </w:r>
      <w:r w:rsidR="002758C6">
        <w:rPr>
          <w:sz w:val="20"/>
          <w:szCs w:val="20"/>
        </w:rPr>
        <w:t xml:space="preserve">milliards €. Il s’y ajoutait des possibilités accrues de refinancements </w:t>
      </w:r>
      <w:r w:rsidR="00EE6205">
        <w:rPr>
          <w:sz w:val="20"/>
          <w:szCs w:val="20"/>
        </w:rPr>
        <w:t xml:space="preserve">préférentiels </w:t>
      </w:r>
      <w:r w:rsidR="002758C6">
        <w:rPr>
          <w:sz w:val="20"/>
          <w:szCs w:val="20"/>
        </w:rPr>
        <w:t>de la « Kreditanstalt für Wiederaufbau »</w:t>
      </w:r>
      <w:r w:rsidR="00EE6205">
        <w:rPr>
          <w:sz w:val="20"/>
          <w:szCs w:val="20"/>
        </w:rPr>
        <w:t xml:space="preserve"> ainsi qu’une</w:t>
      </w:r>
      <w:r w:rsidR="007C6C31">
        <w:rPr>
          <w:sz w:val="20"/>
          <w:szCs w:val="20"/>
        </w:rPr>
        <w:t xml:space="preserve"> une réduction de</w:t>
      </w:r>
      <w:r w:rsidR="00B229F6">
        <w:rPr>
          <w:sz w:val="20"/>
          <w:szCs w:val="20"/>
        </w:rPr>
        <w:t>s</w:t>
      </w:r>
      <w:r w:rsidR="007C6C31">
        <w:rPr>
          <w:sz w:val="20"/>
          <w:szCs w:val="20"/>
        </w:rPr>
        <w:t xml:space="preserve"> taux de TVA</w:t>
      </w:r>
      <w:r w:rsidR="00AA7CCE">
        <w:rPr>
          <w:sz w:val="20"/>
          <w:szCs w:val="20"/>
        </w:rPr>
        <w:t xml:space="preserve"> </w:t>
      </w:r>
      <w:r w:rsidR="00B229F6">
        <w:rPr>
          <w:sz w:val="20"/>
          <w:szCs w:val="20"/>
        </w:rPr>
        <w:t>du 1</w:t>
      </w:r>
      <w:r w:rsidR="00B229F6" w:rsidRPr="00B229F6">
        <w:rPr>
          <w:sz w:val="20"/>
          <w:szCs w:val="20"/>
          <w:vertAlign w:val="superscript"/>
        </w:rPr>
        <w:t>er</w:t>
      </w:r>
      <w:r w:rsidR="00B229F6">
        <w:rPr>
          <w:sz w:val="20"/>
          <w:szCs w:val="20"/>
        </w:rPr>
        <w:t xml:space="preserve"> juillet</w:t>
      </w:r>
      <w:r w:rsidR="00AA7CCE">
        <w:rPr>
          <w:sz w:val="20"/>
          <w:szCs w:val="20"/>
        </w:rPr>
        <w:t xml:space="preserve"> au 31 décembre 2020</w:t>
      </w:r>
      <w:r w:rsidR="00B229F6">
        <w:rPr>
          <w:sz w:val="20"/>
          <w:szCs w:val="20"/>
        </w:rPr>
        <w:t xml:space="preserve"> (taux standard passant de 19% à 16% et de 7% à 5% pour le taux réduit)</w:t>
      </w:r>
      <w:r w:rsidR="002758C6">
        <w:rPr>
          <w:sz w:val="20"/>
          <w:szCs w:val="20"/>
        </w:rPr>
        <w:t>. Ces dispositions ont été complétées au début de l’été par des</w:t>
      </w:r>
      <w:r w:rsidR="00016B42">
        <w:rPr>
          <w:sz w:val="20"/>
          <w:szCs w:val="20"/>
        </w:rPr>
        <w:t xml:space="preserve"> interventions</w:t>
      </w:r>
      <w:r w:rsidR="002758C6">
        <w:rPr>
          <w:sz w:val="20"/>
          <w:szCs w:val="20"/>
        </w:rPr>
        <w:t xml:space="preserve"> de soutiens</w:t>
      </w:r>
      <w:r w:rsidR="009F7EF7">
        <w:rPr>
          <w:sz w:val="20"/>
          <w:szCs w:val="20"/>
        </w:rPr>
        <w:t xml:space="preserve"> de l’Etat </w:t>
      </w:r>
      <w:r w:rsidR="00F60F56">
        <w:rPr>
          <w:sz w:val="20"/>
          <w:szCs w:val="20"/>
        </w:rPr>
        <w:t>Fédéral</w:t>
      </w:r>
      <w:r w:rsidR="000536D2">
        <w:rPr>
          <w:sz w:val="20"/>
          <w:szCs w:val="20"/>
        </w:rPr>
        <w:t xml:space="preserve"> </w:t>
      </w:r>
      <w:r w:rsidR="009F7EF7">
        <w:rPr>
          <w:sz w:val="20"/>
          <w:szCs w:val="20"/>
        </w:rPr>
        <w:t>et des Länder</w:t>
      </w:r>
      <w:r w:rsidR="002758C6">
        <w:rPr>
          <w:sz w:val="20"/>
          <w:szCs w:val="20"/>
        </w:rPr>
        <w:t xml:space="preserve"> aux entreprises </w:t>
      </w:r>
      <w:r w:rsidR="00F42082">
        <w:rPr>
          <w:sz w:val="20"/>
          <w:szCs w:val="20"/>
        </w:rPr>
        <w:t xml:space="preserve">qui ont été </w:t>
      </w:r>
      <w:r w:rsidR="002758C6">
        <w:rPr>
          <w:sz w:val="20"/>
          <w:szCs w:val="20"/>
        </w:rPr>
        <w:t>soumises à des p</w:t>
      </w:r>
      <w:r w:rsidR="00F42082">
        <w:rPr>
          <w:sz w:val="20"/>
          <w:szCs w:val="20"/>
        </w:rPr>
        <w:t>ertes de chiffre d’affaires : il</w:t>
      </w:r>
      <w:r w:rsidR="002B6EF4">
        <w:rPr>
          <w:sz w:val="20"/>
          <w:szCs w:val="20"/>
        </w:rPr>
        <w:t xml:space="preserve"> </w:t>
      </w:r>
      <w:r w:rsidR="00F42082">
        <w:rPr>
          <w:sz w:val="20"/>
          <w:szCs w:val="20"/>
        </w:rPr>
        <w:t>s’agit</w:t>
      </w:r>
      <w:r w:rsidR="002B6EF4">
        <w:rPr>
          <w:sz w:val="20"/>
          <w:szCs w:val="20"/>
        </w:rPr>
        <w:t xml:space="preserve"> </w:t>
      </w:r>
      <w:r w:rsidR="00F42082">
        <w:rPr>
          <w:sz w:val="20"/>
          <w:szCs w:val="20"/>
        </w:rPr>
        <w:t xml:space="preserve">de </w:t>
      </w:r>
      <w:r w:rsidR="002758C6">
        <w:rPr>
          <w:sz w:val="20"/>
          <w:szCs w:val="20"/>
        </w:rPr>
        <w:t xml:space="preserve"> </w:t>
      </w:r>
      <w:r w:rsidR="00016B42">
        <w:rPr>
          <w:sz w:val="20"/>
          <w:szCs w:val="20"/>
        </w:rPr>
        <w:t>mesures</w:t>
      </w:r>
      <w:r w:rsidR="00784B1D">
        <w:rPr>
          <w:sz w:val="20"/>
          <w:szCs w:val="20"/>
        </w:rPr>
        <w:t xml:space="preserve"> </w:t>
      </w:r>
      <w:r w:rsidR="00016B42">
        <w:rPr>
          <w:sz w:val="20"/>
          <w:szCs w:val="20"/>
        </w:rPr>
        <w:t xml:space="preserve">de transition dites </w:t>
      </w:r>
      <w:r w:rsidR="002758C6">
        <w:rPr>
          <w:sz w:val="20"/>
          <w:szCs w:val="20"/>
        </w:rPr>
        <w:t>« Uberbr</w:t>
      </w:r>
      <w:r w:rsidR="009F7EF7">
        <w:rPr>
          <w:sz w:val="20"/>
          <w:szCs w:val="20"/>
        </w:rPr>
        <w:t>ü</w:t>
      </w:r>
      <w:r w:rsidR="002758C6">
        <w:rPr>
          <w:sz w:val="20"/>
          <w:szCs w:val="20"/>
        </w:rPr>
        <w:t>ckun</w:t>
      </w:r>
      <w:r w:rsidR="009F7EF7">
        <w:rPr>
          <w:sz w:val="20"/>
          <w:szCs w:val="20"/>
        </w:rPr>
        <w:t>g</w:t>
      </w:r>
      <w:r w:rsidR="002758C6">
        <w:rPr>
          <w:sz w:val="20"/>
          <w:szCs w:val="20"/>
        </w:rPr>
        <w:t>shilfen »</w:t>
      </w:r>
      <w:r w:rsidR="007C6C31">
        <w:rPr>
          <w:sz w:val="20"/>
          <w:szCs w:val="20"/>
        </w:rPr>
        <w:t>,</w:t>
      </w:r>
      <w:r w:rsidR="002758C6">
        <w:rPr>
          <w:sz w:val="20"/>
          <w:szCs w:val="20"/>
        </w:rPr>
        <w:t xml:space="preserve"> soumises au contrôle des </w:t>
      </w:r>
      <w:r w:rsidR="009F7EF7">
        <w:rPr>
          <w:sz w:val="20"/>
          <w:szCs w:val="20"/>
        </w:rPr>
        <w:t>« </w:t>
      </w:r>
      <w:r w:rsidR="002758C6">
        <w:rPr>
          <w:sz w:val="20"/>
          <w:szCs w:val="20"/>
        </w:rPr>
        <w:t>Wirtschaftsprüfer</w:t>
      </w:r>
      <w:r w:rsidR="009F7EF7">
        <w:rPr>
          <w:sz w:val="20"/>
          <w:szCs w:val="20"/>
        </w:rPr>
        <w:t> ». En France,</w:t>
      </w:r>
      <w:r w:rsidR="002758C6">
        <w:rPr>
          <w:sz w:val="20"/>
          <w:szCs w:val="20"/>
        </w:rPr>
        <w:t xml:space="preserve"> </w:t>
      </w:r>
      <w:r w:rsidR="009F7EF7">
        <w:rPr>
          <w:sz w:val="20"/>
          <w:szCs w:val="20"/>
        </w:rPr>
        <w:t>l</w:t>
      </w:r>
      <w:r w:rsidR="00C2457A">
        <w:rPr>
          <w:sz w:val="20"/>
          <w:szCs w:val="20"/>
        </w:rPr>
        <w:t xml:space="preserve">es </w:t>
      </w:r>
      <w:r w:rsidR="009F7EF7">
        <w:rPr>
          <w:sz w:val="20"/>
          <w:szCs w:val="20"/>
        </w:rPr>
        <w:t xml:space="preserve">premières </w:t>
      </w:r>
      <w:r w:rsidR="00C2457A">
        <w:rPr>
          <w:sz w:val="20"/>
          <w:szCs w:val="20"/>
        </w:rPr>
        <w:t xml:space="preserve">facilités accordées </w:t>
      </w:r>
      <w:r w:rsidR="009F7EF7">
        <w:rPr>
          <w:sz w:val="20"/>
          <w:szCs w:val="20"/>
        </w:rPr>
        <w:t>ont reposé, à partir d’avril 2020,</w:t>
      </w:r>
      <w:r w:rsidR="00F73EA1">
        <w:rPr>
          <w:sz w:val="20"/>
          <w:szCs w:val="20"/>
        </w:rPr>
        <w:t xml:space="preserve"> </w:t>
      </w:r>
      <w:r w:rsidR="00C2457A">
        <w:rPr>
          <w:sz w:val="20"/>
          <w:szCs w:val="20"/>
        </w:rPr>
        <w:t>pour l’essentiel</w:t>
      </w:r>
      <w:r w:rsidR="00AC521C">
        <w:rPr>
          <w:sz w:val="20"/>
          <w:szCs w:val="20"/>
        </w:rPr>
        <w:t>,</w:t>
      </w:r>
      <w:r w:rsidR="00C2457A">
        <w:rPr>
          <w:sz w:val="20"/>
          <w:szCs w:val="20"/>
        </w:rPr>
        <w:t xml:space="preserve"> sur l’allègement des prélèvements obligatoires</w:t>
      </w:r>
      <w:r w:rsidR="009F7EF7">
        <w:rPr>
          <w:sz w:val="20"/>
          <w:szCs w:val="20"/>
        </w:rPr>
        <w:t xml:space="preserve">, </w:t>
      </w:r>
      <w:r w:rsidR="000C21A7">
        <w:rPr>
          <w:sz w:val="20"/>
          <w:szCs w:val="20"/>
        </w:rPr>
        <w:t>le soutien au chômage partiel</w:t>
      </w:r>
      <w:r w:rsidR="00E47E37">
        <w:rPr>
          <w:sz w:val="20"/>
          <w:szCs w:val="20"/>
        </w:rPr>
        <w:t xml:space="preserve"> (inspiré des mesures dites « « Kurzarbeit » en Allemagne depuis 2008)</w:t>
      </w:r>
      <w:r w:rsidR="000C21A7">
        <w:rPr>
          <w:sz w:val="20"/>
          <w:szCs w:val="20"/>
        </w:rPr>
        <w:t xml:space="preserve">, </w:t>
      </w:r>
      <w:r w:rsidR="009F7EF7">
        <w:rPr>
          <w:sz w:val="20"/>
          <w:szCs w:val="20"/>
        </w:rPr>
        <w:t>les prêts garantis par l’Etat (</w:t>
      </w:r>
      <w:r w:rsidR="00183284">
        <w:rPr>
          <w:sz w:val="20"/>
          <w:szCs w:val="20"/>
        </w:rPr>
        <w:t>« </w:t>
      </w:r>
      <w:r w:rsidR="009F7EF7">
        <w:rPr>
          <w:sz w:val="20"/>
          <w:szCs w:val="20"/>
        </w:rPr>
        <w:t>PGE</w:t>
      </w:r>
      <w:r w:rsidR="00183284">
        <w:rPr>
          <w:sz w:val="20"/>
          <w:szCs w:val="20"/>
        </w:rPr>
        <w:t> »</w:t>
      </w:r>
      <w:r w:rsidR="009F7EF7">
        <w:rPr>
          <w:sz w:val="20"/>
          <w:szCs w:val="20"/>
        </w:rPr>
        <w:t>)</w:t>
      </w:r>
      <w:r w:rsidR="00C2457A">
        <w:rPr>
          <w:sz w:val="20"/>
          <w:szCs w:val="20"/>
        </w:rPr>
        <w:t xml:space="preserve"> et sur les facilités d’endettement à </w:t>
      </w:r>
      <w:r w:rsidR="00F73EA1">
        <w:rPr>
          <w:sz w:val="20"/>
          <w:szCs w:val="20"/>
        </w:rPr>
        <w:t xml:space="preserve">des </w:t>
      </w:r>
      <w:r w:rsidR="00C2457A">
        <w:rPr>
          <w:sz w:val="20"/>
          <w:szCs w:val="20"/>
        </w:rPr>
        <w:t xml:space="preserve">taux </w:t>
      </w:r>
      <w:r w:rsidR="00F73EA1">
        <w:rPr>
          <w:sz w:val="20"/>
          <w:szCs w:val="20"/>
        </w:rPr>
        <w:t xml:space="preserve">d’intérêt </w:t>
      </w:r>
      <w:r w:rsidR="00C2457A">
        <w:rPr>
          <w:sz w:val="20"/>
          <w:szCs w:val="20"/>
        </w:rPr>
        <w:t>voisins de zéro.</w:t>
      </w:r>
      <w:r w:rsidR="009F7EF7">
        <w:rPr>
          <w:sz w:val="20"/>
          <w:szCs w:val="20"/>
        </w:rPr>
        <w:t xml:space="preserve"> </w:t>
      </w:r>
      <w:r w:rsidR="00EE6205">
        <w:rPr>
          <w:sz w:val="20"/>
          <w:szCs w:val="20"/>
        </w:rPr>
        <w:t>Ce</w:t>
      </w:r>
      <w:r w:rsidR="00F60F56">
        <w:rPr>
          <w:sz w:val="20"/>
          <w:szCs w:val="20"/>
        </w:rPr>
        <w:t>t important</w:t>
      </w:r>
      <w:r w:rsidR="00EE6205">
        <w:rPr>
          <w:sz w:val="20"/>
          <w:szCs w:val="20"/>
        </w:rPr>
        <w:t xml:space="preserve"> plan d’urgence</w:t>
      </w:r>
      <w:r w:rsidR="007C6C31">
        <w:rPr>
          <w:sz w:val="20"/>
          <w:szCs w:val="20"/>
        </w:rPr>
        <w:t xml:space="preserve"> </w:t>
      </w:r>
      <w:r w:rsidR="00F42082">
        <w:rPr>
          <w:sz w:val="20"/>
          <w:szCs w:val="20"/>
        </w:rPr>
        <w:t xml:space="preserve">initial </w:t>
      </w:r>
      <w:r w:rsidR="007C6C31">
        <w:rPr>
          <w:sz w:val="20"/>
          <w:szCs w:val="20"/>
        </w:rPr>
        <w:t xml:space="preserve">comportait une enveloppe globale de 430 milliards </w:t>
      </w:r>
      <w:r w:rsidR="00F42082">
        <w:rPr>
          <w:sz w:val="20"/>
          <w:szCs w:val="20"/>
        </w:rPr>
        <w:t>€ dont 300 milliards</w:t>
      </w:r>
      <w:r w:rsidR="00B11356">
        <w:rPr>
          <w:sz w:val="20"/>
          <w:szCs w:val="20"/>
        </w:rPr>
        <w:t xml:space="preserve"> €</w:t>
      </w:r>
      <w:r w:rsidR="00F42082">
        <w:rPr>
          <w:sz w:val="20"/>
          <w:szCs w:val="20"/>
        </w:rPr>
        <w:t xml:space="preserve"> de </w:t>
      </w:r>
      <w:r w:rsidR="00183284">
        <w:rPr>
          <w:sz w:val="20"/>
          <w:szCs w:val="20"/>
        </w:rPr>
        <w:t>« </w:t>
      </w:r>
      <w:r w:rsidR="00F42082">
        <w:rPr>
          <w:sz w:val="20"/>
          <w:szCs w:val="20"/>
        </w:rPr>
        <w:t>PGE</w:t>
      </w:r>
      <w:r w:rsidR="00183284">
        <w:rPr>
          <w:sz w:val="20"/>
          <w:szCs w:val="20"/>
        </w:rPr>
        <w:t> »</w:t>
      </w:r>
      <w:r w:rsidR="00F42082">
        <w:rPr>
          <w:sz w:val="20"/>
          <w:szCs w:val="20"/>
        </w:rPr>
        <w:t> ; selon les informations disponibles début septembre, plus de 100</w:t>
      </w:r>
      <w:r w:rsidR="007C6C31">
        <w:rPr>
          <w:sz w:val="20"/>
          <w:szCs w:val="20"/>
        </w:rPr>
        <w:t xml:space="preserve"> milliards </w:t>
      </w:r>
      <w:r w:rsidR="00F42082">
        <w:rPr>
          <w:sz w:val="20"/>
          <w:szCs w:val="20"/>
        </w:rPr>
        <w:t xml:space="preserve">€ auraient </w:t>
      </w:r>
      <w:r w:rsidR="007C6C31">
        <w:rPr>
          <w:sz w:val="20"/>
          <w:szCs w:val="20"/>
        </w:rPr>
        <w:t xml:space="preserve">été </w:t>
      </w:r>
      <w:r w:rsidR="00F42082">
        <w:rPr>
          <w:sz w:val="20"/>
          <w:szCs w:val="20"/>
        </w:rPr>
        <w:t xml:space="preserve">ainsi </w:t>
      </w:r>
      <w:r w:rsidR="007C6C31">
        <w:rPr>
          <w:sz w:val="20"/>
          <w:szCs w:val="20"/>
        </w:rPr>
        <w:t>débloqués à la fin de l’été.</w:t>
      </w:r>
      <w:r w:rsidR="0005541A">
        <w:rPr>
          <w:sz w:val="20"/>
          <w:szCs w:val="20"/>
        </w:rPr>
        <w:t xml:space="preserve"> </w:t>
      </w:r>
      <w:r w:rsidR="00183323">
        <w:rPr>
          <w:sz w:val="20"/>
          <w:szCs w:val="20"/>
        </w:rPr>
        <w:t xml:space="preserve">Il s’y ajoutait un plan de report d’échéances de 6 mois, </w:t>
      </w:r>
      <w:r w:rsidR="00183323">
        <w:rPr>
          <w:sz w:val="20"/>
          <w:szCs w:val="20"/>
        </w:rPr>
        <w:lastRenderedPageBreak/>
        <w:t>jusqu’en septembre 2020 de la part des banques.</w:t>
      </w:r>
      <w:r w:rsidR="007C6C31">
        <w:rPr>
          <w:sz w:val="20"/>
          <w:szCs w:val="20"/>
        </w:rPr>
        <w:t xml:space="preserve"> </w:t>
      </w:r>
      <w:r w:rsidR="000259D3">
        <w:rPr>
          <w:sz w:val="20"/>
          <w:szCs w:val="20"/>
        </w:rPr>
        <w:t>Par ailleurs, l’ordonnance du 20 mai 2020 assouplit les règles de protection des entreprises en cas de faillite et facilite leurs reprises par les anciens dirigeants</w:t>
      </w:r>
      <w:r w:rsidR="00A519B2">
        <w:rPr>
          <w:sz w:val="20"/>
          <w:szCs w:val="20"/>
        </w:rPr>
        <w:t xml:space="preserve"> (art 7 visant les incompatibilités</w:t>
      </w:r>
      <w:r w:rsidR="00CC6636">
        <w:rPr>
          <w:sz w:val="20"/>
          <w:szCs w:val="20"/>
        </w:rPr>
        <w:t xml:space="preserve"> </w:t>
      </w:r>
      <w:r w:rsidR="00A519B2">
        <w:rPr>
          <w:sz w:val="20"/>
          <w:szCs w:val="20"/>
        </w:rPr>
        <w:t xml:space="preserve"> prévues </w:t>
      </w:r>
      <w:r w:rsidR="00CC6636">
        <w:rPr>
          <w:sz w:val="20"/>
          <w:szCs w:val="20"/>
        </w:rPr>
        <w:t xml:space="preserve"> </w:t>
      </w:r>
      <w:r w:rsidR="00A519B2">
        <w:rPr>
          <w:sz w:val="20"/>
          <w:szCs w:val="20"/>
        </w:rPr>
        <w:t>par l’article L 642-3 du code de commerce)</w:t>
      </w:r>
      <w:r w:rsidR="000259D3">
        <w:rPr>
          <w:sz w:val="20"/>
          <w:szCs w:val="20"/>
        </w:rPr>
        <w:t xml:space="preserve">. </w:t>
      </w:r>
      <w:r w:rsidR="008B78E8">
        <w:rPr>
          <w:sz w:val="20"/>
          <w:szCs w:val="20"/>
        </w:rPr>
        <w:t xml:space="preserve">Un fonds de solidarité a été créé pour les PME des secteurs les plus touchés en juillet, puis élargi à de nouvelles activités en octobre. </w:t>
      </w:r>
      <w:r w:rsidR="00F60F56">
        <w:rPr>
          <w:sz w:val="20"/>
          <w:szCs w:val="20"/>
        </w:rPr>
        <w:t>Le programme</w:t>
      </w:r>
      <w:r w:rsidR="009F7EF7">
        <w:rPr>
          <w:sz w:val="20"/>
          <w:szCs w:val="20"/>
        </w:rPr>
        <w:t xml:space="preserve"> dit « France Relance » du 3 septembre 2020, financé principalement à crédit</w:t>
      </w:r>
      <w:r w:rsidR="000C21A7">
        <w:rPr>
          <w:sz w:val="20"/>
          <w:szCs w:val="20"/>
        </w:rPr>
        <w:t>,</w:t>
      </w:r>
      <w:r w:rsidR="009F7EF7">
        <w:rPr>
          <w:sz w:val="20"/>
          <w:szCs w:val="20"/>
        </w:rPr>
        <w:t xml:space="preserve"> porte sur 100 milliards €</w:t>
      </w:r>
      <w:r w:rsidR="000C21A7">
        <w:rPr>
          <w:sz w:val="20"/>
          <w:szCs w:val="20"/>
        </w:rPr>
        <w:t xml:space="preserve"> qui s</w:t>
      </w:r>
      <w:r w:rsidR="00062EAE">
        <w:rPr>
          <w:sz w:val="20"/>
          <w:szCs w:val="20"/>
        </w:rPr>
        <w:t>er</w:t>
      </w:r>
      <w:r w:rsidR="000C21A7">
        <w:rPr>
          <w:sz w:val="20"/>
          <w:szCs w:val="20"/>
        </w:rPr>
        <w:t xml:space="preserve">ont </w:t>
      </w:r>
      <w:r w:rsidR="009F7EF7">
        <w:rPr>
          <w:sz w:val="20"/>
          <w:szCs w:val="20"/>
        </w:rPr>
        <w:t xml:space="preserve">consacrés à la transition énergétique, </w:t>
      </w:r>
      <w:r w:rsidR="007C6C31">
        <w:rPr>
          <w:sz w:val="20"/>
          <w:szCs w:val="20"/>
        </w:rPr>
        <w:t xml:space="preserve">à la relocalisation </w:t>
      </w:r>
      <w:r w:rsidR="00AA7CCE">
        <w:rPr>
          <w:sz w:val="20"/>
          <w:szCs w:val="20"/>
        </w:rPr>
        <w:t xml:space="preserve">industrielle </w:t>
      </w:r>
      <w:r w:rsidR="007C6C31">
        <w:rPr>
          <w:sz w:val="20"/>
          <w:szCs w:val="20"/>
        </w:rPr>
        <w:t>et à la cohésion sociale</w:t>
      </w:r>
      <w:r w:rsidR="000C21A7">
        <w:rPr>
          <w:sz w:val="20"/>
          <w:szCs w:val="20"/>
        </w:rPr>
        <w:t xml:space="preserve">. </w:t>
      </w:r>
      <w:r w:rsidR="00AA7CCE">
        <w:rPr>
          <w:sz w:val="20"/>
          <w:szCs w:val="20"/>
        </w:rPr>
        <w:t>Il présente l’avantage de fixer des objectifs ambitieux selon une politique de l’offre orientée vers les investissements d’avenir. Ce plan comporte d’importantes réductions fiscales destinées aux entreprises et des aides substantielles favorisant l’emploi des jeunes. En revanche, i</w:t>
      </w:r>
      <w:r w:rsidR="000C21A7">
        <w:rPr>
          <w:sz w:val="20"/>
          <w:szCs w:val="20"/>
        </w:rPr>
        <w:t>l n’accor</w:t>
      </w:r>
      <w:r w:rsidR="009F7EF7">
        <w:rPr>
          <w:sz w:val="20"/>
          <w:szCs w:val="20"/>
        </w:rPr>
        <w:t xml:space="preserve">de </w:t>
      </w:r>
      <w:r w:rsidR="000536D2">
        <w:rPr>
          <w:sz w:val="20"/>
          <w:szCs w:val="20"/>
        </w:rPr>
        <w:t xml:space="preserve">directement </w:t>
      </w:r>
      <w:r w:rsidR="009F7EF7">
        <w:rPr>
          <w:sz w:val="20"/>
          <w:szCs w:val="20"/>
        </w:rPr>
        <w:t xml:space="preserve">qu’un soutien </w:t>
      </w:r>
      <w:r w:rsidR="00BF3239">
        <w:rPr>
          <w:sz w:val="20"/>
          <w:szCs w:val="20"/>
        </w:rPr>
        <w:t xml:space="preserve">modeste </w:t>
      </w:r>
      <w:r w:rsidR="009F7EF7">
        <w:rPr>
          <w:sz w:val="20"/>
          <w:szCs w:val="20"/>
        </w:rPr>
        <w:t>de 3 milliards €</w:t>
      </w:r>
      <w:r w:rsidR="000C21A7">
        <w:rPr>
          <w:sz w:val="20"/>
          <w:szCs w:val="20"/>
        </w:rPr>
        <w:t xml:space="preserve"> aux fonds propres des entreprises</w:t>
      </w:r>
      <w:r w:rsidR="00BF3239">
        <w:rPr>
          <w:sz w:val="20"/>
          <w:szCs w:val="20"/>
        </w:rPr>
        <w:t xml:space="preserve"> pourtant </w:t>
      </w:r>
      <w:r w:rsidR="00AA7CCE">
        <w:rPr>
          <w:sz w:val="20"/>
          <w:szCs w:val="20"/>
        </w:rPr>
        <w:t xml:space="preserve">les plus </w:t>
      </w:r>
      <w:r w:rsidR="00BF3239">
        <w:rPr>
          <w:sz w:val="20"/>
          <w:szCs w:val="20"/>
        </w:rPr>
        <w:t>susceptibles de créer des emplois durables</w:t>
      </w:r>
      <w:r w:rsidR="000C21A7">
        <w:rPr>
          <w:sz w:val="20"/>
          <w:szCs w:val="20"/>
        </w:rPr>
        <w:t>.</w:t>
      </w:r>
      <w:r w:rsidR="00F42082">
        <w:rPr>
          <w:sz w:val="20"/>
          <w:szCs w:val="20"/>
        </w:rPr>
        <w:t xml:space="preserve"> Un système complexe de prêts participatifs</w:t>
      </w:r>
      <w:r w:rsidR="00AA7CCE">
        <w:rPr>
          <w:sz w:val="20"/>
          <w:szCs w:val="20"/>
        </w:rPr>
        <w:t xml:space="preserve"> </w:t>
      </w:r>
      <w:r w:rsidR="00385452">
        <w:rPr>
          <w:sz w:val="20"/>
          <w:szCs w:val="20"/>
        </w:rPr>
        <w:t xml:space="preserve">à long terme </w:t>
      </w:r>
      <w:r w:rsidR="00AA7CCE">
        <w:rPr>
          <w:sz w:val="20"/>
          <w:szCs w:val="20"/>
        </w:rPr>
        <w:t>assimilable à des quasi-fonds propres</w:t>
      </w:r>
      <w:r w:rsidR="00385452">
        <w:rPr>
          <w:sz w:val="20"/>
          <w:szCs w:val="20"/>
        </w:rPr>
        <w:t xml:space="preserve"> (consentis à des taux d’intérêt compris entre 3% et 5%)</w:t>
      </w:r>
      <w:r w:rsidR="00F42082">
        <w:rPr>
          <w:sz w:val="20"/>
          <w:szCs w:val="20"/>
        </w:rPr>
        <w:t xml:space="preserve"> est</w:t>
      </w:r>
      <w:r w:rsidR="000536D2">
        <w:rPr>
          <w:sz w:val="20"/>
          <w:szCs w:val="20"/>
        </w:rPr>
        <w:t xml:space="preserve"> par ailleurs </w:t>
      </w:r>
      <w:r w:rsidR="00AA7CCE">
        <w:rPr>
          <w:sz w:val="20"/>
          <w:szCs w:val="20"/>
        </w:rPr>
        <w:t>en préparation</w:t>
      </w:r>
      <w:r w:rsidR="00F42082">
        <w:rPr>
          <w:sz w:val="20"/>
          <w:szCs w:val="20"/>
        </w:rPr>
        <w:t xml:space="preserve"> sous l’é</w:t>
      </w:r>
      <w:r w:rsidR="00A62973">
        <w:rPr>
          <w:sz w:val="20"/>
          <w:szCs w:val="20"/>
        </w:rPr>
        <w:t xml:space="preserve">gide de la </w:t>
      </w:r>
      <w:r w:rsidR="00183284">
        <w:rPr>
          <w:sz w:val="20"/>
          <w:szCs w:val="20"/>
        </w:rPr>
        <w:t>« </w:t>
      </w:r>
      <w:r w:rsidR="00A62973">
        <w:rPr>
          <w:sz w:val="20"/>
          <w:szCs w:val="20"/>
        </w:rPr>
        <w:t>BPI</w:t>
      </w:r>
      <w:r w:rsidR="00183284">
        <w:rPr>
          <w:sz w:val="20"/>
          <w:szCs w:val="20"/>
        </w:rPr>
        <w:t> »</w:t>
      </w:r>
      <w:r w:rsidR="00A62973">
        <w:rPr>
          <w:sz w:val="20"/>
          <w:szCs w:val="20"/>
        </w:rPr>
        <w:t xml:space="preserve"> (« Banque Publique d’</w:t>
      </w:r>
      <w:r w:rsidR="00F42082">
        <w:rPr>
          <w:sz w:val="20"/>
          <w:szCs w:val="20"/>
        </w:rPr>
        <w:t>Investissement)</w:t>
      </w:r>
      <w:r w:rsidR="00AA7CCE">
        <w:rPr>
          <w:sz w:val="20"/>
          <w:szCs w:val="20"/>
        </w:rPr>
        <w:t>,</w:t>
      </w:r>
      <w:r w:rsidR="00F42082">
        <w:rPr>
          <w:sz w:val="20"/>
          <w:szCs w:val="20"/>
        </w:rPr>
        <w:t xml:space="preserve"> à l’appui d’un label spécifique </w:t>
      </w:r>
      <w:r w:rsidR="00042556">
        <w:rPr>
          <w:sz w:val="20"/>
          <w:szCs w:val="20"/>
        </w:rPr>
        <w:t>qui sera</w:t>
      </w:r>
      <w:r w:rsidR="008B78E8">
        <w:rPr>
          <w:sz w:val="20"/>
          <w:szCs w:val="20"/>
        </w:rPr>
        <w:t>it</w:t>
      </w:r>
      <w:r w:rsidR="00042556">
        <w:rPr>
          <w:sz w:val="20"/>
          <w:szCs w:val="20"/>
        </w:rPr>
        <w:t xml:space="preserve"> créé à pour l’</w:t>
      </w:r>
      <w:r w:rsidR="00F42082">
        <w:rPr>
          <w:sz w:val="20"/>
          <w:szCs w:val="20"/>
        </w:rPr>
        <w:t>occasion. L</w:t>
      </w:r>
      <w:r w:rsidR="006B3AB3">
        <w:rPr>
          <w:sz w:val="20"/>
          <w:szCs w:val="20"/>
        </w:rPr>
        <w:t>es</w:t>
      </w:r>
      <w:r w:rsidR="00F42082">
        <w:rPr>
          <w:sz w:val="20"/>
          <w:szCs w:val="20"/>
        </w:rPr>
        <w:t xml:space="preserve"> contribution</w:t>
      </w:r>
      <w:r w:rsidR="006B3AB3">
        <w:rPr>
          <w:sz w:val="20"/>
          <w:szCs w:val="20"/>
        </w:rPr>
        <w:t>s</w:t>
      </w:r>
      <w:r w:rsidR="00F42082">
        <w:rPr>
          <w:sz w:val="20"/>
          <w:szCs w:val="20"/>
        </w:rPr>
        <w:t xml:space="preserve"> des sociétés de capital-risque ser</w:t>
      </w:r>
      <w:r w:rsidR="006B3AB3">
        <w:rPr>
          <w:sz w:val="20"/>
          <w:szCs w:val="20"/>
        </w:rPr>
        <w:t>ont</w:t>
      </w:r>
      <w:r w:rsidR="00F42082">
        <w:rPr>
          <w:sz w:val="20"/>
          <w:szCs w:val="20"/>
        </w:rPr>
        <w:t xml:space="preserve"> également sollicitée</w:t>
      </w:r>
      <w:r w:rsidR="006B3AB3">
        <w:rPr>
          <w:sz w:val="20"/>
          <w:szCs w:val="20"/>
        </w:rPr>
        <w:t>s</w:t>
      </w:r>
      <w:r w:rsidR="00F42082">
        <w:rPr>
          <w:sz w:val="20"/>
          <w:szCs w:val="20"/>
        </w:rPr>
        <w:t xml:space="preserve"> dans ce contexte via des financements de type obligations convertibles</w:t>
      </w:r>
      <w:r w:rsidR="00A62973">
        <w:rPr>
          <w:sz w:val="20"/>
          <w:szCs w:val="20"/>
        </w:rPr>
        <w:t>, avec ou sans la garantie de l’Etat</w:t>
      </w:r>
      <w:r w:rsidR="00F42082">
        <w:rPr>
          <w:sz w:val="20"/>
          <w:szCs w:val="20"/>
        </w:rPr>
        <w:t>.</w:t>
      </w:r>
      <w:r w:rsidR="0005541A">
        <w:rPr>
          <w:sz w:val="20"/>
          <w:szCs w:val="20"/>
        </w:rPr>
        <w:t xml:space="preserve"> </w:t>
      </w:r>
      <w:r w:rsidR="004A138A">
        <w:rPr>
          <w:sz w:val="20"/>
          <w:szCs w:val="20"/>
        </w:rPr>
        <w:t xml:space="preserve">Il s’y ajoute la mise en place d’un fonds de fonds de capital-risque destiné à l’épargne populaire. </w:t>
      </w:r>
      <w:r w:rsidR="0005541A">
        <w:rPr>
          <w:sz w:val="20"/>
          <w:szCs w:val="20"/>
        </w:rPr>
        <w:t>Cette même BPI devrait soutenir, suivant des modalités</w:t>
      </w:r>
      <w:r w:rsidR="00DB63C1">
        <w:rPr>
          <w:sz w:val="20"/>
          <w:szCs w:val="20"/>
        </w:rPr>
        <w:t xml:space="preserve"> qui restent</w:t>
      </w:r>
      <w:r w:rsidR="0005541A">
        <w:rPr>
          <w:sz w:val="20"/>
          <w:szCs w:val="20"/>
        </w:rPr>
        <w:t xml:space="preserve"> à préciser</w:t>
      </w:r>
      <w:r w:rsidR="006B3AB3">
        <w:rPr>
          <w:sz w:val="20"/>
          <w:szCs w:val="20"/>
        </w:rPr>
        <w:t>,</w:t>
      </w:r>
      <w:r w:rsidR="0005541A">
        <w:rPr>
          <w:sz w:val="20"/>
          <w:szCs w:val="20"/>
        </w:rPr>
        <w:t xml:space="preserve"> les financements en fonds propres </w:t>
      </w:r>
      <w:r w:rsidR="006B3AB3">
        <w:rPr>
          <w:sz w:val="20"/>
          <w:szCs w:val="20"/>
        </w:rPr>
        <w:t>d’</w:t>
      </w:r>
      <w:r w:rsidR="0005541A">
        <w:rPr>
          <w:sz w:val="20"/>
          <w:szCs w:val="20"/>
        </w:rPr>
        <w:t xml:space="preserve">un </w:t>
      </w:r>
      <w:r w:rsidR="00DB63C1">
        <w:rPr>
          <w:sz w:val="20"/>
          <w:szCs w:val="20"/>
        </w:rPr>
        <w:t xml:space="preserve">large </w:t>
      </w:r>
      <w:r w:rsidR="0005541A">
        <w:rPr>
          <w:sz w:val="20"/>
          <w:szCs w:val="20"/>
        </w:rPr>
        <w:t>réseau de sociétés de capital-risque</w:t>
      </w:r>
      <w:r w:rsidR="00BD6B35">
        <w:rPr>
          <w:sz w:val="20"/>
          <w:szCs w:val="20"/>
        </w:rPr>
        <w:t>. I</w:t>
      </w:r>
      <w:r w:rsidR="00784B1D">
        <w:rPr>
          <w:sz w:val="20"/>
          <w:szCs w:val="20"/>
        </w:rPr>
        <w:t xml:space="preserve">l est prévu que la Banque des territoires apporte </w:t>
      </w:r>
      <w:r w:rsidR="00BD6B35">
        <w:rPr>
          <w:sz w:val="20"/>
          <w:szCs w:val="20"/>
        </w:rPr>
        <w:t xml:space="preserve">également </w:t>
      </w:r>
      <w:r w:rsidR="00784B1D">
        <w:rPr>
          <w:sz w:val="20"/>
          <w:szCs w:val="20"/>
        </w:rPr>
        <w:t>s</w:t>
      </w:r>
      <w:r w:rsidR="006B3AB3">
        <w:rPr>
          <w:sz w:val="20"/>
          <w:szCs w:val="20"/>
        </w:rPr>
        <w:t>es compétences et ses moyens</w:t>
      </w:r>
      <w:r w:rsidR="00784B1D">
        <w:rPr>
          <w:sz w:val="20"/>
          <w:szCs w:val="20"/>
        </w:rPr>
        <w:t xml:space="preserve"> sous l’égide de la Caisse des Dépôts et Consignations.</w:t>
      </w:r>
    </w:p>
    <w:p w14:paraId="6FBE5EC4" w14:textId="550FC1AF" w:rsidR="00F60F56" w:rsidRDefault="000536D2" w:rsidP="00E82199">
      <w:pPr>
        <w:jc w:val="both"/>
        <w:rPr>
          <w:sz w:val="20"/>
          <w:szCs w:val="20"/>
        </w:rPr>
      </w:pPr>
      <w:r>
        <w:rPr>
          <w:sz w:val="20"/>
          <w:szCs w:val="20"/>
        </w:rPr>
        <w:t xml:space="preserve"> Au vu de ces </w:t>
      </w:r>
      <w:r w:rsidR="00B11356">
        <w:rPr>
          <w:sz w:val="20"/>
          <w:szCs w:val="20"/>
        </w:rPr>
        <w:t xml:space="preserve">diverses </w:t>
      </w:r>
      <w:r>
        <w:rPr>
          <w:sz w:val="20"/>
          <w:szCs w:val="20"/>
        </w:rPr>
        <w:t>dispositions, il</w:t>
      </w:r>
      <w:r w:rsidR="00C2457A">
        <w:rPr>
          <w:sz w:val="20"/>
          <w:szCs w:val="20"/>
        </w:rPr>
        <w:t xml:space="preserve"> résulte</w:t>
      </w:r>
      <w:r w:rsidR="00B229F6">
        <w:rPr>
          <w:sz w:val="20"/>
          <w:szCs w:val="20"/>
        </w:rPr>
        <w:t xml:space="preserve"> à des degrés divers,</w:t>
      </w:r>
      <w:r w:rsidR="009F7EF7">
        <w:rPr>
          <w:sz w:val="20"/>
          <w:szCs w:val="20"/>
        </w:rPr>
        <w:t xml:space="preserve"> dans les deux pays</w:t>
      </w:r>
      <w:r w:rsidR="00BF3239">
        <w:rPr>
          <w:sz w:val="20"/>
          <w:szCs w:val="20"/>
        </w:rPr>
        <w:t>, à la suite du modèle Nord-Américain,</w:t>
      </w:r>
      <w:r w:rsidR="009F7EF7">
        <w:rPr>
          <w:sz w:val="20"/>
          <w:szCs w:val="20"/>
        </w:rPr>
        <w:t xml:space="preserve"> </w:t>
      </w:r>
      <w:r w:rsidR="00BF3239">
        <w:rPr>
          <w:sz w:val="20"/>
          <w:szCs w:val="20"/>
        </w:rPr>
        <w:t xml:space="preserve">une sorte </w:t>
      </w:r>
      <w:r w:rsidR="00C2457A">
        <w:rPr>
          <w:sz w:val="20"/>
          <w:szCs w:val="20"/>
        </w:rPr>
        <w:t xml:space="preserve">de </w:t>
      </w:r>
      <w:r w:rsidR="00AC521C">
        <w:rPr>
          <w:sz w:val="20"/>
          <w:szCs w:val="20"/>
        </w:rPr>
        <w:t>« </w:t>
      </w:r>
      <w:r w:rsidR="00C2457A">
        <w:rPr>
          <w:sz w:val="20"/>
          <w:szCs w:val="20"/>
        </w:rPr>
        <w:t>pousse-au-crime</w:t>
      </w:r>
      <w:r w:rsidR="00AC521C">
        <w:rPr>
          <w:sz w:val="20"/>
          <w:szCs w:val="20"/>
        </w:rPr>
        <w:t> »</w:t>
      </w:r>
      <w:r w:rsidR="00C2457A">
        <w:rPr>
          <w:sz w:val="20"/>
          <w:szCs w:val="20"/>
        </w:rPr>
        <w:t xml:space="preserve"> </w:t>
      </w:r>
      <w:r w:rsidR="000C21A7">
        <w:rPr>
          <w:sz w:val="20"/>
          <w:szCs w:val="20"/>
        </w:rPr>
        <w:t>institutionnel</w:t>
      </w:r>
      <w:r w:rsidR="007C6C31">
        <w:rPr>
          <w:sz w:val="20"/>
          <w:szCs w:val="20"/>
        </w:rPr>
        <w:t xml:space="preserve"> sous la forme de l’incitation à l’endettement </w:t>
      </w:r>
      <w:r w:rsidR="00784B1D">
        <w:rPr>
          <w:sz w:val="20"/>
          <w:szCs w:val="20"/>
        </w:rPr>
        <w:t xml:space="preserve">généralisé et </w:t>
      </w:r>
      <w:r w:rsidR="007C6C31">
        <w:rPr>
          <w:sz w:val="20"/>
          <w:szCs w:val="20"/>
        </w:rPr>
        <w:t>quasi-gratuit</w:t>
      </w:r>
      <w:r w:rsidR="00FF39C3">
        <w:rPr>
          <w:sz w:val="20"/>
          <w:szCs w:val="20"/>
        </w:rPr>
        <w:t>. C</w:t>
      </w:r>
      <w:r w:rsidR="00BF3239">
        <w:rPr>
          <w:sz w:val="20"/>
          <w:szCs w:val="20"/>
        </w:rPr>
        <w:t>e r</w:t>
      </w:r>
      <w:r w:rsidR="002B6EF4">
        <w:rPr>
          <w:sz w:val="20"/>
          <w:szCs w:val="20"/>
        </w:rPr>
        <w:t>é</w:t>
      </w:r>
      <w:r w:rsidR="00BF3239">
        <w:rPr>
          <w:sz w:val="20"/>
          <w:szCs w:val="20"/>
        </w:rPr>
        <w:t>flexe</w:t>
      </w:r>
      <w:r w:rsidR="00A62973">
        <w:rPr>
          <w:sz w:val="20"/>
          <w:szCs w:val="20"/>
        </w:rPr>
        <w:t xml:space="preserve"> de sauvegarde </w:t>
      </w:r>
      <w:r w:rsidR="00BF3239">
        <w:rPr>
          <w:sz w:val="20"/>
          <w:szCs w:val="20"/>
        </w:rPr>
        <w:t xml:space="preserve">est à la fois injuste et </w:t>
      </w:r>
      <w:r w:rsidR="00F73EA1">
        <w:rPr>
          <w:sz w:val="20"/>
          <w:szCs w:val="20"/>
        </w:rPr>
        <w:t>irresponsable à l’égard des prochaines générations</w:t>
      </w:r>
      <w:r w:rsidR="00A62973">
        <w:rPr>
          <w:sz w:val="20"/>
          <w:szCs w:val="20"/>
        </w:rPr>
        <w:t xml:space="preserve"> et pourrait prendre une</w:t>
      </w:r>
      <w:r>
        <w:rPr>
          <w:sz w:val="20"/>
          <w:szCs w:val="20"/>
        </w:rPr>
        <w:t xml:space="preserve"> dimension dramatique en </w:t>
      </w:r>
      <w:r w:rsidR="00B252D0">
        <w:rPr>
          <w:sz w:val="20"/>
          <w:szCs w:val="20"/>
        </w:rPr>
        <w:t>France (120% d’endettement public estimé par rapport au PIB fin 2020)</w:t>
      </w:r>
      <w:r w:rsidR="00F73EA1">
        <w:rPr>
          <w:sz w:val="20"/>
          <w:szCs w:val="20"/>
        </w:rPr>
        <w:t xml:space="preserve">. </w:t>
      </w:r>
      <w:r w:rsidR="009F7EF7">
        <w:rPr>
          <w:sz w:val="20"/>
          <w:szCs w:val="20"/>
        </w:rPr>
        <w:t xml:space="preserve">Compte tenu de l’état </w:t>
      </w:r>
      <w:r w:rsidR="00883E85">
        <w:rPr>
          <w:sz w:val="20"/>
          <w:szCs w:val="20"/>
        </w:rPr>
        <w:t xml:space="preserve">de grande fragilité </w:t>
      </w:r>
      <w:r w:rsidR="009F7EF7">
        <w:rPr>
          <w:sz w:val="20"/>
          <w:szCs w:val="20"/>
        </w:rPr>
        <w:t xml:space="preserve">de son économie, le cas de la France est </w:t>
      </w:r>
      <w:r>
        <w:rPr>
          <w:sz w:val="20"/>
          <w:szCs w:val="20"/>
        </w:rPr>
        <w:t xml:space="preserve">en effet </w:t>
      </w:r>
      <w:r w:rsidR="009F7EF7">
        <w:rPr>
          <w:sz w:val="20"/>
          <w:szCs w:val="20"/>
        </w:rPr>
        <w:t>beaucoup plus préoccupant</w:t>
      </w:r>
      <w:r w:rsidR="007C6C31">
        <w:rPr>
          <w:sz w:val="20"/>
          <w:szCs w:val="20"/>
        </w:rPr>
        <w:t xml:space="preserve"> que l’Allemagne qui </w:t>
      </w:r>
      <w:r w:rsidR="00F60F56">
        <w:rPr>
          <w:sz w:val="20"/>
          <w:szCs w:val="20"/>
        </w:rPr>
        <w:t>avait</w:t>
      </w:r>
      <w:r w:rsidR="007C6C31">
        <w:rPr>
          <w:sz w:val="20"/>
          <w:szCs w:val="20"/>
        </w:rPr>
        <w:t xml:space="preserve"> abordé la crise dans une forme </w:t>
      </w:r>
      <w:r w:rsidR="00183284">
        <w:rPr>
          <w:sz w:val="20"/>
          <w:szCs w:val="20"/>
        </w:rPr>
        <w:t xml:space="preserve">relativement </w:t>
      </w:r>
      <w:r w:rsidR="007C6C31">
        <w:rPr>
          <w:sz w:val="20"/>
          <w:szCs w:val="20"/>
        </w:rPr>
        <w:t>satisfaisante</w:t>
      </w:r>
      <w:r w:rsidR="009F7EF7">
        <w:rPr>
          <w:sz w:val="20"/>
          <w:szCs w:val="20"/>
        </w:rPr>
        <w:t>.</w:t>
      </w:r>
      <w:r w:rsidR="00902DC3">
        <w:rPr>
          <w:sz w:val="20"/>
          <w:szCs w:val="20"/>
        </w:rPr>
        <w:t xml:space="preserve"> Le chômage oscille entre 8 à9 % en France contre 4 à5 % en Allemagne. </w:t>
      </w:r>
      <w:r w:rsidR="000C21A7">
        <w:rPr>
          <w:sz w:val="20"/>
          <w:szCs w:val="20"/>
        </w:rPr>
        <w:t xml:space="preserve"> </w:t>
      </w:r>
      <w:r w:rsidR="00EE6205">
        <w:rPr>
          <w:sz w:val="20"/>
          <w:szCs w:val="20"/>
        </w:rPr>
        <w:t>Suivant les estimations disponibles à la fin d</w:t>
      </w:r>
      <w:r w:rsidR="00902DC3">
        <w:rPr>
          <w:sz w:val="20"/>
          <w:szCs w:val="20"/>
        </w:rPr>
        <w:t>u troisième trimestre</w:t>
      </w:r>
      <w:r w:rsidR="00EE6205">
        <w:rPr>
          <w:sz w:val="20"/>
          <w:szCs w:val="20"/>
        </w:rPr>
        <w:t>, l’année 2020 dev</w:t>
      </w:r>
      <w:r w:rsidR="00A62973">
        <w:rPr>
          <w:sz w:val="20"/>
          <w:szCs w:val="20"/>
        </w:rPr>
        <w:t>r</w:t>
      </w:r>
      <w:r w:rsidR="00EE6205">
        <w:rPr>
          <w:sz w:val="20"/>
          <w:szCs w:val="20"/>
        </w:rPr>
        <w:t xml:space="preserve">ait se solder par un recul du PIB de l’ordre de 11% en France et de 6% en </w:t>
      </w:r>
      <w:r w:rsidR="00902DC3">
        <w:rPr>
          <w:sz w:val="20"/>
          <w:szCs w:val="20"/>
        </w:rPr>
        <w:t>Allemagne ; outre-Rhin,</w:t>
      </w:r>
      <w:r w:rsidR="00EE3D4D">
        <w:rPr>
          <w:sz w:val="20"/>
          <w:szCs w:val="20"/>
        </w:rPr>
        <w:t xml:space="preserve"> l’abandon de la rigueur budgétaire imposée p</w:t>
      </w:r>
      <w:r w:rsidR="00965D29">
        <w:rPr>
          <w:sz w:val="20"/>
          <w:szCs w:val="20"/>
        </w:rPr>
        <w:t>our</w:t>
      </w:r>
      <w:r w:rsidR="00EE3D4D">
        <w:rPr>
          <w:sz w:val="20"/>
          <w:szCs w:val="20"/>
        </w:rPr>
        <w:t xml:space="preserve"> la gestion des </w:t>
      </w:r>
      <w:r w:rsidR="00C97942">
        <w:rPr>
          <w:sz w:val="20"/>
          <w:szCs w:val="20"/>
        </w:rPr>
        <w:t>deniers</w:t>
      </w:r>
      <w:r w:rsidR="00EE3D4D">
        <w:rPr>
          <w:sz w:val="20"/>
          <w:szCs w:val="20"/>
        </w:rPr>
        <w:t xml:space="preserve"> publi</w:t>
      </w:r>
      <w:r w:rsidR="00C97942">
        <w:rPr>
          <w:sz w:val="20"/>
          <w:szCs w:val="20"/>
        </w:rPr>
        <w:t>cs</w:t>
      </w:r>
      <w:r w:rsidR="00EE3D4D">
        <w:rPr>
          <w:sz w:val="20"/>
          <w:szCs w:val="20"/>
        </w:rPr>
        <w:t xml:space="preserve"> </w:t>
      </w:r>
      <w:r w:rsidR="00965D29">
        <w:rPr>
          <w:sz w:val="20"/>
          <w:szCs w:val="20"/>
        </w:rPr>
        <w:t>par</w:t>
      </w:r>
      <w:r w:rsidR="004A138A">
        <w:rPr>
          <w:sz w:val="20"/>
          <w:szCs w:val="20"/>
        </w:rPr>
        <w:t xml:space="preserve"> l’ancien ministre </w:t>
      </w:r>
      <w:r w:rsidR="0086251F">
        <w:rPr>
          <w:sz w:val="20"/>
          <w:szCs w:val="20"/>
        </w:rPr>
        <w:t xml:space="preserve">des finances </w:t>
      </w:r>
      <w:r w:rsidR="00EE3D4D">
        <w:rPr>
          <w:sz w:val="20"/>
          <w:szCs w:val="20"/>
        </w:rPr>
        <w:t xml:space="preserve">Wolfgang Schaüble de 2011 à 2017 (politique </w:t>
      </w:r>
      <w:r w:rsidR="00B252D0">
        <w:rPr>
          <w:sz w:val="20"/>
          <w:szCs w:val="20"/>
        </w:rPr>
        <w:t xml:space="preserve">dite </w:t>
      </w:r>
      <w:r w:rsidR="00EE3D4D">
        <w:rPr>
          <w:sz w:val="20"/>
          <w:szCs w:val="20"/>
        </w:rPr>
        <w:t>« schwarze Null », « zéro noir ») est encore récente</w:t>
      </w:r>
      <w:r w:rsidR="00D16CB3">
        <w:rPr>
          <w:sz w:val="20"/>
          <w:szCs w:val="20"/>
        </w:rPr>
        <w:t xml:space="preserve"> (75</w:t>
      </w:r>
      <w:r w:rsidR="00B252D0">
        <w:rPr>
          <w:sz w:val="20"/>
          <w:szCs w:val="20"/>
        </w:rPr>
        <w:t>% d’endettement public estimé par rapport au PIB fin 2020)</w:t>
      </w:r>
      <w:r w:rsidR="00EE3D4D">
        <w:rPr>
          <w:sz w:val="20"/>
          <w:szCs w:val="20"/>
        </w:rPr>
        <w:t>.</w:t>
      </w:r>
      <w:r w:rsidR="00EE6205">
        <w:rPr>
          <w:sz w:val="20"/>
          <w:szCs w:val="20"/>
        </w:rPr>
        <w:t xml:space="preserve"> </w:t>
      </w:r>
      <w:r w:rsidR="007C6C31">
        <w:rPr>
          <w:sz w:val="20"/>
          <w:szCs w:val="20"/>
        </w:rPr>
        <w:t xml:space="preserve">A l’issue de ces </w:t>
      </w:r>
      <w:r w:rsidR="00A62973">
        <w:rPr>
          <w:sz w:val="20"/>
          <w:szCs w:val="20"/>
        </w:rPr>
        <w:t>plans de relance successifs</w:t>
      </w:r>
      <w:r w:rsidR="007C6C31">
        <w:rPr>
          <w:sz w:val="20"/>
          <w:szCs w:val="20"/>
        </w:rPr>
        <w:t xml:space="preserve"> tous l</w:t>
      </w:r>
      <w:r w:rsidR="00C2457A">
        <w:rPr>
          <w:sz w:val="20"/>
          <w:szCs w:val="20"/>
        </w:rPr>
        <w:t xml:space="preserve">es </w:t>
      </w:r>
      <w:r w:rsidR="00F73EA1">
        <w:rPr>
          <w:sz w:val="20"/>
          <w:szCs w:val="20"/>
        </w:rPr>
        <w:t xml:space="preserve">futurs </w:t>
      </w:r>
      <w:r w:rsidR="00B252D0">
        <w:rPr>
          <w:sz w:val="20"/>
          <w:szCs w:val="20"/>
        </w:rPr>
        <w:t xml:space="preserve">acteurs de ces deux </w:t>
      </w:r>
      <w:r w:rsidR="00C2457A">
        <w:rPr>
          <w:sz w:val="20"/>
          <w:szCs w:val="20"/>
        </w:rPr>
        <w:t>économie</w:t>
      </w:r>
      <w:r w:rsidR="00B252D0">
        <w:rPr>
          <w:sz w:val="20"/>
          <w:szCs w:val="20"/>
        </w:rPr>
        <w:t>s</w:t>
      </w:r>
      <w:r w:rsidR="00C2457A">
        <w:rPr>
          <w:sz w:val="20"/>
          <w:szCs w:val="20"/>
        </w:rPr>
        <w:t xml:space="preserve"> subiront</w:t>
      </w:r>
      <w:r w:rsidR="00B252D0">
        <w:rPr>
          <w:sz w:val="20"/>
          <w:szCs w:val="20"/>
        </w:rPr>
        <w:t xml:space="preserve"> de fait</w:t>
      </w:r>
      <w:r w:rsidR="00C2457A">
        <w:rPr>
          <w:sz w:val="20"/>
          <w:szCs w:val="20"/>
        </w:rPr>
        <w:t xml:space="preserve"> la lourde charge </w:t>
      </w:r>
      <w:r w:rsidR="00AC521C">
        <w:rPr>
          <w:sz w:val="20"/>
          <w:szCs w:val="20"/>
        </w:rPr>
        <w:t xml:space="preserve">des remboursements </w:t>
      </w:r>
      <w:r w:rsidR="00C2457A">
        <w:rPr>
          <w:sz w:val="20"/>
          <w:szCs w:val="20"/>
        </w:rPr>
        <w:t>pendant des décennies</w:t>
      </w:r>
      <w:r w:rsidR="00F73EA1">
        <w:rPr>
          <w:sz w:val="20"/>
          <w:szCs w:val="20"/>
        </w:rPr>
        <w:t xml:space="preserve">, sauf à </w:t>
      </w:r>
      <w:r w:rsidR="007C6C31">
        <w:rPr>
          <w:sz w:val="20"/>
          <w:szCs w:val="20"/>
        </w:rPr>
        <w:t>ce que soient spoliés</w:t>
      </w:r>
      <w:r w:rsidR="00F73EA1">
        <w:rPr>
          <w:sz w:val="20"/>
          <w:szCs w:val="20"/>
        </w:rPr>
        <w:t xml:space="preserve"> les créanciers sous </w:t>
      </w:r>
      <w:r w:rsidR="00EE6205">
        <w:rPr>
          <w:sz w:val="20"/>
          <w:szCs w:val="20"/>
        </w:rPr>
        <w:t xml:space="preserve">les </w:t>
      </w:r>
      <w:r w:rsidR="00F73EA1">
        <w:rPr>
          <w:sz w:val="20"/>
          <w:szCs w:val="20"/>
        </w:rPr>
        <w:t>diverses formes</w:t>
      </w:r>
      <w:r w:rsidR="007C6C31">
        <w:rPr>
          <w:sz w:val="20"/>
          <w:szCs w:val="20"/>
        </w:rPr>
        <w:t xml:space="preserve"> habituelles : </w:t>
      </w:r>
      <w:r w:rsidR="00F73EA1">
        <w:rPr>
          <w:sz w:val="20"/>
          <w:szCs w:val="20"/>
        </w:rPr>
        <w:t xml:space="preserve">inflation, </w:t>
      </w:r>
      <w:r w:rsidR="00AC521C">
        <w:rPr>
          <w:sz w:val="20"/>
          <w:szCs w:val="20"/>
        </w:rPr>
        <w:t>dévaluation,</w:t>
      </w:r>
      <w:r w:rsidR="002B6EF4">
        <w:rPr>
          <w:sz w:val="20"/>
          <w:szCs w:val="20"/>
        </w:rPr>
        <w:t xml:space="preserve"> </w:t>
      </w:r>
      <w:r w:rsidR="00BF3239">
        <w:rPr>
          <w:sz w:val="20"/>
          <w:szCs w:val="20"/>
        </w:rPr>
        <w:t>moratoire,</w:t>
      </w:r>
      <w:r w:rsidR="002B6EF4">
        <w:rPr>
          <w:sz w:val="20"/>
          <w:szCs w:val="20"/>
        </w:rPr>
        <w:t xml:space="preserve"> </w:t>
      </w:r>
      <w:r w:rsidR="00BF3239">
        <w:rPr>
          <w:sz w:val="20"/>
          <w:szCs w:val="20"/>
        </w:rPr>
        <w:t>..</w:t>
      </w:r>
      <w:r w:rsidR="00C2457A">
        <w:rPr>
          <w:sz w:val="20"/>
          <w:szCs w:val="20"/>
        </w:rPr>
        <w:t>.</w:t>
      </w:r>
      <w:r w:rsidR="00EE3D4D">
        <w:rPr>
          <w:sz w:val="20"/>
          <w:szCs w:val="20"/>
        </w:rPr>
        <w:t xml:space="preserve"> ce qui ne devrait </w:t>
      </w:r>
      <w:r w:rsidR="00B252D0">
        <w:rPr>
          <w:sz w:val="20"/>
          <w:szCs w:val="20"/>
        </w:rPr>
        <w:t xml:space="preserve">cependant </w:t>
      </w:r>
      <w:r w:rsidR="00EE3D4D">
        <w:rPr>
          <w:sz w:val="20"/>
          <w:szCs w:val="20"/>
        </w:rPr>
        <w:t>pas revêtir la même forme de part et d’autre du Rhin.</w:t>
      </w:r>
      <w:r w:rsidR="00883E85">
        <w:rPr>
          <w:sz w:val="20"/>
          <w:szCs w:val="20"/>
        </w:rPr>
        <w:t xml:space="preserve"> Bon indicateur de la résilience </w:t>
      </w:r>
      <w:r w:rsidR="00E83E8D">
        <w:rPr>
          <w:sz w:val="20"/>
          <w:szCs w:val="20"/>
        </w:rPr>
        <w:t xml:space="preserve">effective </w:t>
      </w:r>
      <w:r w:rsidR="00883E85">
        <w:rPr>
          <w:sz w:val="20"/>
          <w:szCs w:val="20"/>
        </w:rPr>
        <w:t xml:space="preserve">des économies, la balance commerciale française devrait être déficitaire de </w:t>
      </w:r>
      <w:r w:rsidR="00E83E8D">
        <w:rPr>
          <w:sz w:val="20"/>
          <w:szCs w:val="20"/>
        </w:rPr>
        <w:t>8</w:t>
      </w:r>
      <w:r w:rsidR="00883E85">
        <w:rPr>
          <w:sz w:val="20"/>
          <w:szCs w:val="20"/>
        </w:rPr>
        <w:t>0 milliards € pour 2020</w:t>
      </w:r>
      <w:r w:rsidR="00965D29">
        <w:rPr>
          <w:sz w:val="20"/>
          <w:szCs w:val="20"/>
        </w:rPr>
        <w:t>,</w:t>
      </w:r>
      <w:r w:rsidR="00883E85">
        <w:rPr>
          <w:sz w:val="20"/>
          <w:szCs w:val="20"/>
        </w:rPr>
        <w:t xml:space="preserve"> à rapprocher d’un excédent de </w:t>
      </w:r>
      <w:r w:rsidR="00A519B2">
        <w:rPr>
          <w:sz w:val="20"/>
          <w:szCs w:val="20"/>
        </w:rPr>
        <w:t xml:space="preserve">l’ordre de </w:t>
      </w:r>
      <w:r w:rsidR="00965D29">
        <w:rPr>
          <w:sz w:val="20"/>
          <w:szCs w:val="20"/>
        </w:rPr>
        <w:t xml:space="preserve">100 </w:t>
      </w:r>
      <w:r w:rsidR="00883E85">
        <w:rPr>
          <w:sz w:val="20"/>
          <w:szCs w:val="20"/>
        </w:rPr>
        <w:t>milliards</w:t>
      </w:r>
      <w:r w:rsidR="00965D29">
        <w:rPr>
          <w:sz w:val="20"/>
          <w:szCs w:val="20"/>
        </w:rPr>
        <w:t xml:space="preserve"> €</w:t>
      </w:r>
      <w:r w:rsidR="00A519B2">
        <w:rPr>
          <w:sz w:val="20"/>
          <w:szCs w:val="20"/>
        </w:rPr>
        <w:t xml:space="preserve">, </w:t>
      </w:r>
      <w:r w:rsidR="00965D29">
        <w:rPr>
          <w:sz w:val="20"/>
          <w:szCs w:val="20"/>
        </w:rPr>
        <w:t>pourtant en baisse de 30%,</w:t>
      </w:r>
      <w:r w:rsidR="00883E85">
        <w:rPr>
          <w:sz w:val="20"/>
          <w:szCs w:val="20"/>
        </w:rPr>
        <w:t xml:space="preserve"> fin juillet</w:t>
      </w:r>
      <w:r w:rsidR="00E83E8D">
        <w:rPr>
          <w:sz w:val="20"/>
          <w:szCs w:val="20"/>
        </w:rPr>
        <w:t>,</w:t>
      </w:r>
      <w:r w:rsidR="00883E85">
        <w:rPr>
          <w:sz w:val="20"/>
          <w:szCs w:val="20"/>
        </w:rPr>
        <w:t xml:space="preserve"> en Allemagne.</w:t>
      </w:r>
      <w:r w:rsidR="0086251F">
        <w:rPr>
          <w:sz w:val="20"/>
          <w:szCs w:val="20"/>
        </w:rPr>
        <w:t xml:space="preserve"> Cette situation est d’autant plus dramatique qu’entre-temps le déficit énergétique externe français se serait réduit d’environ 20 milliards €.</w:t>
      </w:r>
    </w:p>
    <w:p w14:paraId="754674D8" w14:textId="66B0BBCA" w:rsidR="000C55CE" w:rsidRDefault="00C2457A" w:rsidP="00E82199">
      <w:pPr>
        <w:jc w:val="both"/>
        <w:rPr>
          <w:sz w:val="20"/>
          <w:szCs w:val="20"/>
        </w:rPr>
      </w:pPr>
      <w:r>
        <w:rPr>
          <w:sz w:val="20"/>
          <w:szCs w:val="20"/>
        </w:rPr>
        <w:t xml:space="preserve"> </w:t>
      </w:r>
      <w:r w:rsidR="00B930FE">
        <w:rPr>
          <w:sz w:val="20"/>
          <w:szCs w:val="20"/>
        </w:rPr>
        <w:t xml:space="preserve">Ce constat </w:t>
      </w:r>
      <w:r w:rsidR="00883E85">
        <w:rPr>
          <w:sz w:val="20"/>
          <w:szCs w:val="20"/>
        </w:rPr>
        <w:t xml:space="preserve">général </w:t>
      </w:r>
      <w:r w:rsidR="00B930FE">
        <w:rPr>
          <w:sz w:val="20"/>
          <w:szCs w:val="20"/>
        </w:rPr>
        <w:t>a</w:t>
      </w:r>
      <w:r w:rsidR="003A4129">
        <w:rPr>
          <w:sz w:val="20"/>
          <w:szCs w:val="20"/>
        </w:rPr>
        <w:t>ppel</w:t>
      </w:r>
      <w:r w:rsidR="00A519B2">
        <w:rPr>
          <w:sz w:val="20"/>
          <w:szCs w:val="20"/>
        </w:rPr>
        <w:t>l</w:t>
      </w:r>
      <w:r w:rsidR="003A4129">
        <w:rPr>
          <w:sz w:val="20"/>
          <w:szCs w:val="20"/>
        </w:rPr>
        <w:t>e le recours à des</w:t>
      </w:r>
      <w:r w:rsidR="00B930FE">
        <w:rPr>
          <w:sz w:val="20"/>
          <w:szCs w:val="20"/>
        </w:rPr>
        <w:t xml:space="preserve"> solutions</w:t>
      </w:r>
      <w:r w:rsidR="00496B78">
        <w:rPr>
          <w:sz w:val="20"/>
          <w:szCs w:val="20"/>
        </w:rPr>
        <w:t xml:space="preserve"> </w:t>
      </w:r>
      <w:r w:rsidR="003A4129">
        <w:rPr>
          <w:sz w:val="20"/>
          <w:szCs w:val="20"/>
        </w:rPr>
        <w:t xml:space="preserve">réellement innovantes et </w:t>
      </w:r>
      <w:r w:rsidR="00496B78">
        <w:rPr>
          <w:sz w:val="20"/>
          <w:szCs w:val="20"/>
        </w:rPr>
        <w:t>susceptibles d’ê</w:t>
      </w:r>
      <w:r w:rsidR="003A4129">
        <w:rPr>
          <w:sz w:val="20"/>
          <w:szCs w:val="20"/>
        </w:rPr>
        <w:t>tr</w:t>
      </w:r>
      <w:r w:rsidR="00AA7CCE">
        <w:rPr>
          <w:sz w:val="20"/>
          <w:szCs w:val="20"/>
        </w:rPr>
        <w:t>e mises en place avec la caution, voire</w:t>
      </w:r>
      <w:r w:rsidR="00AC521C">
        <w:rPr>
          <w:sz w:val="20"/>
          <w:szCs w:val="20"/>
        </w:rPr>
        <w:t xml:space="preserve"> l’intervention directe</w:t>
      </w:r>
      <w:r w:rsidR="003A4129">
        <w:rPr>
          <w:sz w:val="20"/>
          <w:szCs w:val="20"/>
        </w:rPr>
        <w:t xml:space="preserve"> des</w:t>
      </w:r>
      <w:r w:rsidR="00EF1B01">
        <w:rPr>
          <w:sz w:val="20"/>
          <w:szCs w:val="20"/>
        </w:rPr>
        <w:t xml:space="preserve"> banques centrales</w:t>
      </w:r>
      <w:r>
        <w:rPr>
          <w:sz w:val="20"/>
          <w:szCs w:val="20"/>
        </w:rPr>
        <w:t xml:space="preserve"> des deux principales économies européennes</w:t>
      </w:r>
      <w:r w:rsidR="00EF1B01">
        <w:rPr>
          <w:sz w:val="20"/>
          <w:szCs w:val="20"/>
        </w:rPr>
        <w:t>. La coopération de la Banque de France et de la Bundesbank en la matière constituerait une avancée considérable pour l’Union européenne</w:t>
      </w:r>
      <w:r w:rsidR="00496B78">
        <w:rPr>
          <w:sz w:val="20"/>
          <w:szCs w:val="20"/>
        </w:rPr>
        <w:t xml:space="preserve"> qui y trouverait</w:t>
      </w:r>
      <w:r w:rsidR="00AC521C">
        <w:rPr>
          <w:sz w:val="20"/>
          <w:szCs w:val="20"/>
        </w:rPr>
        <w:t xml:space="preserve">, outre un </w:t>
      </w:r>
      <w:r w:rsidR="000C21A7">
        <w:rPr>
          <w:sz w:val="20"/>
          <w:szCs w:val="20"/>
        </w:rPr>
        <w:t xml:space="preserve">vraisemblable </w:t>
      </w:r>
      <w:r w:rsidR="00AC521C">
        <w:rPr>
          <w:sz w:val="20"/>
          <w:szCs w:val="20"/>
        </w:rPr>
        <w:t>effet d’entrainement</w:t>
      </w:r>
      <w:r w:rsidR="00EE6205">
        <w:rPr>
          <w:sz w:val="20"/>
          <w:szCs w:val="20"/>
        </w:rPr>
        <w:t xml:space="preserve"> communautaire</w:t>
      </w:r>
      <w:r w:rsidR="00AC521C">
        <w:rPr>
          <w:sz w:val="20"/>
          <w:szCs w:val="20"/>
        </w:rPr>
        <w:t>,</w:t>
      </w:r>
      <w:r w:rsidR="00496B78">
        <w:rPr>
          <w:sz w:val="20"/>
          <w:szCs w:val="20"/>
        </w:rPr>
        <w:t xml:space="preserve"> une solution efficace</w:t>
      </w:r>
      <w:r w:rsidR="00EE6205">
        <w:rPr>
          <w:sz w:val="20"/>
          <w:szCs w:val="20"/>
        </w:rPr>
        <w:t xml:space="preserve"> et simple</w:t>
      </w:r>
      <w:r w:rsidR="00496B78">
        <w:rPr>
          <w:sz w:val="20"/>
          <w:szCs w:val="20"/>
        </w:rPr>
        <w:t xml:space="preserve"> de mobilisation de l’épargne </w:t>
      </w:r>
      <w:r w:rsidR="00831590">
        <w:rPr>
          <w:sz w:val="20"/>
          <w:szCs w:val="20"/>
        </w:rPr>
        <w:t xml:space="preserve">disponible </w:t>
      </w:r>
      <w:r w:rsidR="00496B78">
        <w:rPr>
          <w:sz w:val="20"/>
          <w:szCs w:val="20"/>
        </w:rPr>
        <w:t xml:space="preserve">au service des entreprises </w:t>
      </w:r>
      <w:r w:rsidR="000C21A7">
        <w:rPr>
          <w:sz w:val="20"/>
          <w:szCs w:val="20"/>
        </w:rPr>
        <w:t xml:space="preserve">de taille moyenne </w:t>
      </w:r>
      <w:r w:rsidR="00496B78">
        <w:rPr>
          <w:sz w:val="20"/>
          <w:szCs w:val="20"/>
        </w:rPr>
        <w:t>dans des conditions de sécurité optimales</w:t>
      </w:r>
      <w:r w:rsidR="00EF1B01">
        <w:rPr>
          <w:sz w:val="20"/>
          <w:szCs w:val="20"/>
        </w:rPr>
        <w:t>.</w:t>
      </w:r>
      <w:r w:rsidR="00B11356">
        <w:rPr>
          <w:sz w:val="20"/>
          <w:szCs w:val="20"/>
        </w:rPr>
        <w:t xml:space="preserve"> Il est </w:t>
      </w:r>
      <w:r>
        <w:rPr>
          <w:sz w:val="20"/>
          <w:szCs w:val="20"/>
        </w:rPr>
        <w:t xml:space="preserve">en effet </w:t>
      </w:r>
      <w:r w:rsidR="00B11356">
        <w:rPr>
          <w:sz w:val="20"/>
          <w:szCs w:val="20"/>
        </w:rPr>
        <w:t xml:space="preserve">urgent </w:t>
      </w:r>
      <w:r>
        <w:rPr>
          <w:sz w:val="20"/>
          <w:szCs w:val="20"/>
        </w:rPr>
        <w:t xml:space="preserve">de rechercher </w:t>
      </w:r>
      <w:r w:rsidR="00D16CB3">
        <w:rPr>
          <w:sz w:val="20"/>
          <w:szCs w:val="20"/>
        </w:rPr>
        <w:t>de nouvelles pistes ; le bon usage d’</w:t>
      </w:r>
      <w:r>
        <w:rPr>
          <w:sz w:val="20"/>
          <w:szCs w:val="20"/>
        </w:rPr>
        <w:t>un</w:t>
      </w:r>
      <w:r w:rsidR="003A4129">
        <w:rPr>
          <w:sz w:val="20"/>
          <w:szCs w:val="20"/>
        </w:rPr>
        <w:t xml:space="preserve"> ou plusieurs </w:t>
      </w:r>
      <w:r>
        <w:rPr>
          <w:sz w:val="20"/>
          <w:szCs w:val="20"/>
        </w:rPr>
        <w:t>instrument</w:t>
      </w:r>
      <w:r w:rsidR="003A4129">
        <w:rPr>
          <w:sz w:val="20"/>
          <w:szCs w:val="20"/>
        </w:rPr>
        <w:t>s</w:t>
      </w:r>
      <w:r>
        <w:rPr>
          <w:sz w:val="20"/>
          <w:szCs w:val="20"/>
        </w:rPr>
        <w:t xml:space="preserve"> financier</w:t>
      </w:r>
      <w:r w:rsidR="003A4129">
        <w:rPr>
          <w:sz w:val="20"/>
          <w:szCs w:val="20"/>
        </w:rPr>
        <w:t>s,</w:t>
      </w:r>
      <w:r>
        <w:rPr>
          <w:sz w:val="20"/>
          <w:szCs w:val="20"/>
        </w:rPr>
        <w:t xml:space="preserve"> robuste</w:t>
      </w:r>
      <w:r w:rsidR="00A62973">
        <w:rPr>
          <w:sz w:val="20"/>
          <w:szCs w:val="20"/>
        </w:rPr>
        <w:t>s et éprouvés</w:t>
      </w:r>
      <w:r w:rsidR="003A4129">
        <w:rPr>
          <w:sz w:val="20"/>
          <w:szCs w:val="20"/>
        </w:rPr>
        <w:t>,</w:t>
      </w:r>
      <w:r w:rsidR="00D16CB3">
        <w:rPr>
          <w:sz w:val="20"/>
          <w:szCs w:val="20"/>
        </w:rPr>
        <w:t xml:space="preserve"> autoriserai</w:t>
      </w:r>
      <w:r>
        <w:rPr>
          <w:sz w:val="20"/>
          <w:szCs w:val="20"/>
        </w:rPr>
        <w:t xml:space="preserve">t une rémunération correcte </w:t>
      </w:r>
      <w:r w:rsidR="00D16CB3">
        <w:rPr>
          <w:sz w:val="20"/>
          <w:szCs w:val="20"/>
        </w:rPr>
        <w:t xml:space="preserve">et régulière </w:t>
      </w:r>
      <w:r>
        <w:rPr>
          <w:sz w:val="20"/>
          <w:szCs w:val="20"/>
        </w:rPr>
        <w:t xml:space="preserve">de l’épargne de précaution </w:t>
      </w:r>
      <w:r w:rsidR="00E83E8D">
        <w:rPr>
          <w:sz w:val="20"/>
          <w:szCs w:val="20"/>
        </w:rPr>
        <w:t>qui se trouverait</w:t>
      </w:r>
      <w:r w:rsidR="00BF3239">
        <w:rPr>
          <w:sz w:val="20"/>
          <w:szCs w:val="20"/>
        </w:rPr>
        <w:t xml:space="preserve"> directement investie</w:t>
      </w:r>
      <w:r w:rsidR="003A4129">
        <w:rPr>
          <w:sz w:val="20"/>
          <w:szCs w:val="20"/>
        </w:rPr>
        <w:t xml:space="preserve"> à </w:t>
      </w:r>
      <w:r w:rsidR="00831590">
        <w:rPr>
          <w:sz w:val="20"/>
          <w:szCs w:val="20"/>
        </w:rPr>
        <w:t xml:space="preserve">moyen et </w:t>
      </w:r>
      <w:r w:rsidR="003A4129">
        <w:rPr>
          <w:sz w:val="20"/>
          <w:szCs w:val="20"/>
        </w:rPr>
        <w:t>long terme</w:t>
      </w:r>
      <w:r w:rsidR="00F73EA1">
        <w:rPr>
          <w:sz w:val="20"/>
          <w:szCs w:val="20"/>
        </w:rPr>
        <w:t xml:space="preserve"> dans les fonds propres des entreprises les plus créatrices d’emplois</w:t>
      </w:r>
      <w:r w:rsidR="00D16CB3">
        <w:rPr>
          <w:sz w:val="20"/>
          <w:szCs w:val="20"/>
        </w:rPr>
        <w:t>. Il s’agit d</w:t>
      </w:r>
      <w:r w:rsidR="000C21A7">
        <w:rPr>
          <w:sz w:val="20"/>
          <w:szCs w:val="20"/>
        </w:rPr>
        <w:t xml:space="preserve">es </w:t>
      </w:r>
      <w:r w:rsidR="00831590">
        <w:rPr>
          <w:sz w:val="20"/>
          <w:szCs w:val="20"/>
        </w:rPr>
        <w:t>« </w:t>
      </w:r>
      <w:r w:rsidR="000C21A7">
        <w:rPr>
          <w:sz w:val="20"/>
          <w:szCs w:val="20"/>
        </w:rPr>
        <w:t>ETI</w:t>
      </w:r>
      <w:r w:rsidR="00831590">
        <w:rPr>
          <w:sz w:val="20"/>
          <w:szCs w:val="20"/>
        </w:rPr>
        <w:t> »</w:t>
      </w:r>
      <w:r w:rsidR="00D16CB3">
        <w:rPr>
          <w:sz w:val="20"/>
          <w:szCs w:val="20"/>
        </w:rPr>
        <w:t xml:space="preserve">, </w:t>
      </w:r>
      <w:r w:rsidR="00784B1D">
        <w:rPr>
          <w:sz w:val="20"/>
          <w:szCs w:val="20"/>
        </w:rPr>
        <w:t xml:space="preserve">dont les nombres sont </w:t>
      </w:r>
      <w:r w:rsidR="00D16CB3">
        <w:rPr>
          <w:sz w:val="20"/>
          <w:szCs w:val="20"/>
        </w:rPr>
        <w:t>estimés à 5</w:t>
      </w:r>
      <w:r w:rsidR="00784B1D">
        <w:rPr>
          <w:sz w:val="20"/>
          <w:szCs w:val="20"/>
        </w:rPr>
        <w:t>.800</w:t>
      </w:r>
      <w:r w:rsidR="00D16CB3">
        <w:rPr>
          <w:sz w:val="20"/>
          <w:szCs w:val="20"/>
        </w:rPr>
        <w:t xml:space="preserve"> en France et du</w:t>
      </w:r>
      <w:r w:rsidR="000C21A7">
        <w:rPr>
          <w:sz w:val="20"/>
          <w:szCs w:val="20"/>
        </w:rPr>
        <w:t xml:space="preserve"> </w:t>
      </w:r>
      <w:r w:rsidR="00831590">
        <w:rPr>
          <w:sz w:val="20"/>
          <w:szCs w:val="20"/>
        </w:rPr>
        <w:t>« </w:t>
      </w:r>
      <w:r w:rsidR="000C21A7">
        <w:rPr>
          <w:sz w:val="20"/>
          <w:szCs w:val="20"/>
        </w:rPr>
        <w:t>Mittelstand</w:t>
      </w:r>
      <w:r w:rsidR="00831590">
        <w:rPr>
          <w:sz w:val="20"/>
          <w:szCs w:val="20"/>
        </w:rPr>
        <w:t> »</w:t>
      </w:r>
      <w:r w:rsidR="00D16CB3">
        <w:rPr>
          <w:sz w:val="20"/>
          <w:szCs w:val="20"/>
        </w:rPr>
        <w:t xml:space="preserve">, </w:t>
      </w:r>
      <w:r w:rsidR="00784B1D">
        <w:rPr>
          <w:sz w:val="20"/>
          <w:szCs w:val="20"/>
        </w:rPr>
        <w:t>de l’ordre de</w:t>
      </w:r>
      <w:r w:rsidR="00D16CB3">
        <w:rPr>
          <w:sz w:val="20"/>
          <w:szCs w:val="20"/>
        </w:rPr>
        <w:t xml:space="preserve"> 1</w:t>
      </w:r>
      <w:r w:rsidR="00784B1D">
        <w:rPr>
          <w:sz w:val="20"/>
          <w:szCs w:val="20"/>
        </w:rPr>
        <w:t>2.5</w:t>
      </w:r>
      <w:r w:rsidR="00D16CB3">
        <w:rPr>
          <w:sz w:val="20"/>
          <w:szCs w:val="20"/>
        </w:rPr>
        <w:t>00 en Allemagne</w:t>
      </w:r>
      <w:r w:rsidR="000C21A7">
        <w:rPr>
          <w:sz w:val="20"/>
          <w:szCs w:val="20"/>
        </w:rPr>
        <w:t>. C</w:t>
      </w:r>
      <w:r w:rsidR="00AC521C">
        <w:rPr>
          <w:sz w:val="20"/>
          <w:szCs w:val="20"/>
        </w:rPr>
        <w:t xml:space="preserve">e processus original </w:t>
      </w:r>
      <w:r w:rsidR="00784B1D">
        <w:rPr>
          <w:sz w:val="20"/>
          <w:szCs w:val="20"/>
        </w:rPr>
        <w:t xml:space="preserve">et direct </w:t>
      </w:r>
      <w:r w:rsidR="00AC521C">
        <w:rPr>
          <w:sz w:val="20"/>
          <w:szCs w:val="20"/>
        </w:rPr>
        <w:t>d’allocation des fonds</w:t>
      </w:r>
      <w:r w:rsidR="000C21A7">
        <w:rPr>
          <w:sz w:val="20"/>
          <w:szCs w:val="20"/>
        </w:rPr>
        <w:t xml:space="preserve"> propres</w:t>
      </w:r>
      <w:r w:rsidR="000536D2">
        <w:rPr>
          <w:sz w:val="20"/>
          <w:szCs w:val="20"/>
        </w:rPr>
        <w:t xml:space="preserve"> exige</w:t>
      </w:r>
      <w:r w:rsidR="00186426">
        <w:rPr>
          <w:sz w:val="20"/>
          <w:szCs w:val="20"/>
        </w:rPr>
        <w:t>, sujet délicat s’il en est,</w:t>
      </w:r>
      <w:r w:rsidR="00AC521C">
        <w:rPr>
          <w:sz w:val="20"/>
          <w:szCs w:val="20"/>
        </w:rPr>
        <w:t xml:space="preserve"> </w:t>
      </w:r>
      <w:r w:rsidR="00A91816">
        <w:rPr>
          <w:sz w:val="20"/>
          <w:szCs w:val="20"/>
        </w:rPr>
        <w:t>un ciblage</w:t>
      </w:r>
      <w:r w:rsidR="00AC521C">
        <w:rPr>
          <w:sz w:val="20"/>
          <w:szCs w:val="20"/>
        </w:rPr>
        <w:t xml:space="preserve"> rigoureux,</w:t>
      </w:r>
      <w:r w:rsidR="00A91816">
        <w:rPr>
          <w:sz w:val="20"/>
          <w:szCs w:val="20"/>
        </w:rPr>
        <w:t xml:space="preserve"> professionnel </w:t>
      </w:r>
      <w:r w:rsidR="00AC521C">
        <w:rPr>
          <w:sz w:val="20"/>
          <w:szCs w:val="20"/>
        </w:rPr>
        <w:t>et indépendant des entreprises bénéficiaires</w:t>
      </w:r>
      <w:r w:rsidR="000536D2">
        <w:rPr>
          <w:sz w:val="20"/>
          <w:szCs w:val="20"/>
        </w:rPr>
        <w:t>,</w:t>
      </w:r>
      <w:r w:rsidR="000C21A7">
        <w:rPr>
          <w:sz w:val="20"/>
          <w:szCs w:val="20"/>
        </w:rPr>
        <w:t xml:space="preserve"> don</w:t>
      </w:r>
      <w:r w:rsidR="000536D2">
        <w:rPr>
          <w:sz w:val="20"/>
          <w:szCs w:val="20"/>
        </w:rPr>
        <w:t xml:space="preserve">t </w:t>
      </w:r>
      <w:r w:rsidR="00B11356">
        <w:rPr>
          <w:sz w:val="20"/>
          <w:szCs w:val="20"/>
        </w:rPr>
        <w:t>les besoins s’avèrent actuellement</w:t>
      </w:r>
      <w:r w:rsidR="000C21A7">
        <w:rPr>
          <w:sz w:val="20"/>
          <w:szCs w:val="20"/>
        </w:rPr>
        <w:t xml:space="preserve"> </w:t>
      </w:r>
      <w:r w:rsidR="00BB62F2">
        <w:rPr>
          <w:sz w:val="20"/>
          <w:szCs w:val="20"/>
        </w:rPr>
        <w:t xml:space="preserve">beaucoup </w:t>
      </w:r>
      <w:r w:rsidR="000C21A7">
        <w:rPr>
          <w:sz w:val="20"/>
          <w:szCs w:val="20"/>
        </w:rPr>
        <w:t>plus importants en France qu’en Allemagne</w:t>
      </w:r>
      <w:r w:rsidR="00F73EA1">
        <w:rPr>
          <w:sz w:val="20"/>
          <w:szCs w:val="20"/>
        </w:rPr>
        <w:t>.</w:t>
      </w:r>
    </w:p>
    <w:p w14:paraId="37E0000F" w14:textId="7D54223C" w:rsidR="00841F2C" w:rsidRDefault="00E82199" w:rsidP="00E82199">
      <w:pPr>
        <w:jc w:val="both"/>
        <w:rPr>
          <w:sz w:val="20"/>
          <w:szCs w:val="20"/>
        </w:rPr>
      </w:pPr>
      <w:r>
        <w:rPr>
          <w:sz w:val="20"/>
          <w:szCs w:val="20"/>
        </w:rPr>
        <w:lastRenderedPageBreak/>
        <w:t>L</w:t>
      </w:r>
      <w:r w:rsidR="00E96FD4">
        <w:rPr>
          <w:sz w:val="20"/>
          <w:szCs w:val="20"/>
        </w:rPr>
        <w:t>’assimilation de t</w:t>
      </w:r>
      <w:r w:rsidR="00660B24">
        <w:rPr>
          <w:sz w:val="20"/>
          <w:szCs w:val="20"/>
        </w:rPr>
        <w:t xml:space="preserve">itres </w:t>
      </w:r>
      <w:r w:rsidR="00E96FD4">
        <w:rPr>
          <w:sz w:val="20"/>
          <w:szCs w:val="20"/>
        </w:rPr>
        <w:t>p</w:t>
      </w:r>
      <w:r w:rsidR="00660B24">
        <w:rPr>
          <w:sz w:val="20"/>
          <w:szCs w:val="20"/>
        </w:rPr>
        <w:t>articipatifs</w:t>
      </w:r>
      <w:r w:rsidR="00702E09">
        <w:rPr>
          <w:sz w:val="20"/>
          <w:szCs w:val="20"/>
        </w:rPr>
        <w:t xml:space="preserve"> (</w:t>
      </w:r>
      <w:r w:rsidR="00AA7CCE">
        <w:rPr>
          <w:sz w:val="20"/>
          <w:szCs w:val="20"/>
        </w:rPr>
        <w:t xml:space="preserve">les </w:t>
      </w:r>
      <w:r w:rsidR="00702E09">
        <w:rPr>
          <w:sz w:val="20"/>
          <w:szCs w:val="20"/>
        </w:rPr>
        <w:t>« Genussscheine »</w:t>
      </w:r>
      <w:r w:rsidR="00AA7CCE">
        <w:rPr>
          <w:sz w:val="20"/>
          <w:szCs w:val="20"/>
        </w:rPr>
        <w:t xml:space="preserve"> bien connus en Allemagne</w:t>
      </w:r>
      <w:r w:rsidR="00702E09">
        <w:rPr>
          <w:sz w:val="20"/>
          <w:szCs w:val="20"/>
        </w:rPr>
        <w:t>)</w:t>
      </w:r>
      <w:r w:rsidR="00FB298F">
        <w:rPr>
          <w:sz w:val="20"/>
          <w:szCs w:val="20"/>
        </w:rPr>
        <w:t>, hybrides ou subordonnés</w:t>
      </w:r>
      <w:r w:rsidR="000C55CE">
        <w:rPr>
          <w:sz w:val="20"/>
          <w:szCs w:val="20"/>
        </w:rPr>
        <w:t xml:space="preserve"> à échéances longues en capitaux perma</w:t>
      </w:r>
      <w:r>
        <w:rPr>
          <w:sz w:val="20"/>
          <w:szCs w:val="20"/>
        </w:rPr>
        <w:t>nents et en fonds propres</w:t>
      </w:r>
      <w:r w:rsidR="002F10D6">
        <w:rPr>
          <w:sz w:val="20"/>
          <w:szCs w:val="20"/>
        </w:rPr>
        <w:t xml:space="preserve"> des sociétés</w:t>
      </w:r>
      <w:r w:rsidR="00BB17F6">
        <w:rPr>
          <w:sz w:val="20"/>
          <w:szCs w:val="20"/>
        </w:rPr>
        <w:t xml:space="preserve"> est proposée</w:t>
      </w:r>
      <w:r w:rsidR="000C55CE">
        <w:rPr>
          <w:sz w:val="20"/>
          <w:szCs w:val="20"/>
        </w:rPr>
        <w:t xml:space="preserve"> </w:t>
      </w:r>
      <w:r w:rsidR="00CB23BF">
        <w:rPr>
          <w:sz w:val="20"/>
          <w:szCs w:val="20"/>
        </w:rPr>
        <w:t>ici</w:t>
      </w:r>
      <w:r w:rsidR="00C80A11">
        <w:rPr>
          <w:sz w:val="20"/>
          <w:szCs w:val="20"/>
        </w:rPr>
        <w:t>, selon un scenario central,</w:t>
      </w:r>
      <w:r w:rsidR="00CB23BF">
        <w:rPr>
          <w:sz w:val="20"/>
          <w:szCs w:val="20"/>
        </w:rPr>
        <w:t xml:space="preserve"> </w:t>
      </w:r>
      <w:r w:rsidR="00366C7B">
        <w:rPr>
          <w:sz w:val="20"/>
          <w:szCs w:val="20"/>
        </w:rPr>
        <w:t>en fonction de</w:t>
      </w:r>
      <w:r w:rsidR="00D02874">
        <w:rPr>
          <w:sz w:val="20"/>
          <w:szCs w:val="20"/>
        </w:rPr>
        <w:t>s</w:t>
      </w:r>
      <w:r w:rsidR="000C55CE">
        <w:rPr>
          <w:sz w:val="20"/>
          <w:szCs w:val="20"/>
        </w:rPr>
        <w:t xml:space="preserve"> 3 catégories d’acteurs : </w:t>
      </w:r>
      <w:r w:rsidR="008769F9">
        <w:rPr>
          <w:sz w:val="20"/>
          <w:szCs w:val="20"/>
        </w:rPr>
        <w:t xml:space="preserve">(1) </w:t>
      </w:r>
      <w:r w:rsidR="00D16CB3">
        <w:rPr>
          <w:sz w:val="20"/>
          <w:szCs w:val="20"/>
        </w:rPr>
        <w:t>e</w:t>
      </w:r>
      <w:r w:rsidR="000C55CE">
        <w:rPr>
          <w:sz w:val="20"/>
          <w:szCs w:val="20"/>
        </w:rPr>
        <w:t>ntreprises</w:t>
      </w:r>
      <w:r w:rsidR="00BB17F6">
        <w:rPr>
          <w:sz w:val="20"/>
          <w:szCs w:val="20"/>
        </w:rPr>
        <w:t xml:space="preserve"> Industrielles et C</w:t>
      </w:r>
      <w:r w:rsidR="00C80A11">
        <w:rPr>
          <w:sz w:val="20"/>
          <w:szCs w:val="20"/>
        </w:rPr>
        <w:t>ommerciales</w:t>
      </w:r>
      <w:r w:rsidR="00BB17F6">
        <w:rPr>
          <w:sz w:val="20"/>
          <w:szCs w:val="20"/>
        </w:rPr>
        <w:t xml:space="preserve"> ou « Mittelstand »</w:t>
      </w:r>
      <w:r w:rsidR="008769F9">
        <w:rPr>
          <w:sz w:val="20"/>
          <w:szCs w:val="20"/>
        </w:rPr>
        <w:t xml:space="preserve"> (2)</w:t>
      </w:r>
      <w:r w:rsidR="00D16CB3">
        <w:rPr>
          <w:sz w:val="20"/>
          <w:szCs w:val="20"/>
        </w:rPr>
        <w:t xml:space="preserve"> i</w:t>
      </w:r>
      <w:r w:rsidR="000C55CE">
        <w:rPr>
          <w:sz w:val="20"/>
          <w:szCs w:val="20"/>
        </w:rPr>
        <w:t>nvestisseurs</w:t>
      </w:r>
      <w:r w:rsidR="00C80A11">
        <w:rPr>
          <w:sz w:val="20"/>
          <w:szCs w:val="20"/>
        </w:rPr>
        <w:t xml:space="preserve"> institutionnels</w:t>
      </w:r>
      <w:r w:rsidR="008769F9">
        <w:rPr>
          <w:sz w:val="20"/>
          <w:szCs w:val="20"/>
        </w:rPr>
        <w:t xml:space="preserve"> privés</w:t>
      </w:r>
      <w:r w:rsidR="000C55CE">
        <w:rPr>
          <w:sz w:val="20"/>
          <w:szCs w:val="20"/>
        </w:rPr>
        <w:t xml:space="preserve">, </w:t>
      </w:r>
      <w:r w:rsidR="008769F9">
        <w:rPr>
          <w:sz w:val="20"/>
          <w:szCs w:val="20"/>
        </w:rPr>
        <w:t xml:space="preserve">(3) </w:t>
      </w:r>
      <w:r w:rsidR="00D16CB3">
        <w:rPr>
          <w:sz w:val="20"/>
          <w:szCs w:val="20"/>
        </w:rPr>
        <w:t>m</w:t>
      </w:r>
      <w:r w:rsidR="000C55CE">
        <w:rPr>
          <w:sz w:val="20"/>
          <w:szCs w:val="20"/>
        </w:rPr>
        <w:t>archés</w:t>
      </w:r>
      <w:r w:rsidR="00BB17F6">
        <w:rPr>
          <w:sz w:val="20"/>
          <w:szCs w:val="20"/>
        </w:rPr>
        <w:t xml:space="preserve"> financiers. La solution</w:t>
      </w:r>
      <w:r w:rsidR="008769F9">
        <w:rPr>
          <w:sz w:val="20"/>
          <w:szCs w:val="20"/>
        </w:rPr>
        <w:t xml:space="preserve"> </w:t>
      </w:r>
      <w:r w:rsidR="00F73EA1">
        <w:rPr>
          <w:sz w:val="20"/>
          <w:szCs w:val="20"/>
        </w:rPr>
        <w:t>suggérée</w:t>
      </w:r>
      <w:r w:rsidR="00A45345">
        <w:rPr>
          <w:sz w:val="20"/>
          <w:szCs w:val="20"/>
        </w:rPr>
        <w:t xml:space="preserve"> </w:t>
      </w:r>
      <w:r w:rsidR="008769F9">
        <w:rPr>
          <w:sz w:val="20"/>
          <w:szCs w:val="20"/>
        </w:rPr>
        <w:t>consiste à</w:t>
      </w:r>
      <w:r w:rsidR="00C80A11">
        <w:rPr>
          <w:sz w:val="20"/>
          <w:szCs w:val="20"/>
        </w:rPr>
        <w:t xml:space="preserve"> renforcer en urgence</w:t>
      </w:r>
      <w:r w:rsidR="00CB23BF">
        <w:rPr>
          <w:sz w:val="20"/>
          <w:szCs w:val="20"/>
        </w:rPr>
        <w:t xml:space="preserve"> les fonds</w:t>
      </w:r>
      <w:r w:rsidR="00E96FD4">
        <w:rPr>
          <w:sz w:val="20"/>
          <w:szCs w:val="20"/>
        </w:rPr>
        <w:t xml:space="preserve"> propres des </w:t>
      </w:r>
      <w:r w:rsidR="00F73EA1">
        <w:rPr>
          <w:sz w:val="20"/>
          <w:szCs w:val="20"/>
        </w:rPr>
        <w:t>« </w:t>
      </w:r>
      <w:r w:rsidR="00E96FD4">
        <w:rPr>
          <w:sz w:val="20"/>
          <w:szCs w:val="20"/>
        </w:rPr>
        <w:t>ETI</w:t>
      </w:r>
      <w:r w:rsidR="00F73EA1">
        <w:rPr>
          <w:sz w:val="20"/>
          <w:szCs w:val="20"/>
        </w:rPr>
        <w:t> »</w:t>
      </w:r>
      <w:r w:rsidR="00BB17F6">
        <w:rPr>
          <w:sz w:val="20"/>
          <w:szCs w:val="20"/>
        </w:rPr>
        <w:t xml:space="preserve"> et du </w:t>
      </w:r>
      <w:r w:rsidR="00F73EA1">
        <w:rPr>
          <w:sz w:val="20"/>
          <w:szCs w:val="20"/>
        </w:rPr>
        <w:t>« </w:t>
      </w:r>
      <w:r w:rsidR="00BB17F6">
        <w:rPr>
          <w:sz w:val="20"/>
          <w:szCs w:val="20"/>
        </w:rPr>
        <w:t>Mittelstand</w:t>
      </w:r>
      <w:r w:rsidR="00F73EA1">
        <w:rPr>
          <w:sz w:val="20"/>
          <w:szCs w:val="20"/>
        </w:rPr>
        <w:t> »</w:t>
      </w:r>
      <w:r w:rsidR="00E96FD4">
        <w:rPr>
          <w:sz w:val="20"/>
          <w:szCs w:val="20"/>
        </w:rPr>
        <w:t xml:space="preserve"> sous forme de t</w:t>
      </w:r>
      <w:r w:rsidR="00660B24">
        <w:rPr>
          <w:sz w:val="20"/>
          <w:szCs w:val="20"/>
        </w:rPr>
        <w:t xml:space="preserve">itres </w:t>
      </w:r>
      <w:r w:rsidR="00E96FD4">
        <w:rPr>
          <w:sz w:val="20"/>
          <w:szCs w:val="20"/>
        </w:rPr>
        <w:t>p</w:t>
      </w:r>
      <w:r w:rsidR="00660B24">
        <w:rPr>
          <w:sz w:val="20"/>
          <w:szCs w:val="20"/>
        </w:rPr>
        <w:t>articipatifs</w:t>
      </w:r>
      <w:r w:rsidR="00E96FD4">
        <w:rPr>
          <w:sz w:val="20"/>
          <w:szCs w:val="20"/>
        </w:rPr>
        <w:t xml:space="preserve">, </w:t>
      </w:r>
      <w:r w:rsidR="00522692">
        <w:rPr>
          <w:sz w:val="20"/>
          <w:szCs w:val="20"/>
        </w:rPr>
        <w:t>ou d’autres formes de titres h</w:t>
      </w:r>
      <w:r w:rsidR="00E96FD4">
        <w:rPr>
          <w:sz w:val="20"/>
          <w:szCs w:val="20"/>
        </w:rPr>
        <w:t>ybrides ou subordonnés,</w:t>
      </w:r>
      <w:r w:rsidR="00522692">
        <w:rPr>
          <w:sz w:val="20"/>
          <w:szCs w:val="20"/>
        </w:rPr>
        <w:t xml:space="preserve"> </w:t>
      </w:r>
      <w:r w:rsidR="00CB23BF">
        <w:rPr>
          <w:sz w:val="20"/>
          <w:szCs w:val="20"/>
        </w:rPr>
        <w:t xml:space="preserve">financés </w:t>
      </w:r>
      <w:r w:rsidR="00E96FD4">
        <w:rPr>
          <w:sz w:val="20"/>
          <w:szCs w:val="20"/>
        </w:rPr>
        <w:t xml:space="preserve">en priorité </w:t>
      </w:r>
      <w:r w:rsidR="00CB23BF">
        <w:rPr>
          <w:sz w:val="20"/>
          <w:szCs w:val="20"/>
        </w:rPr>
        <w:t>par les</w:t>
      </w:r>
      <w:r w:rsidR="00BB17F6">
        <w:rPr>
          <w:sz w:val="20"/>
          <w:szCs w:val="20"/>
        </w:rPr>
        <w:t xml:space="preserve"> entreprises</w:t>
      </w:r>
      <w:r w:rsidR="00F73EA1">
        <w:rPr>
          <w:sz w:val="20"/>
          <w:szCs w:val="20"/>
        </w:rPr>
        <w:t xml:space="preserve"> d’assurances</w:t>
      </w:r>
      <w:r w:rsidR="00BB17F6">
        <w:rPr>
          <w:sz w:val="20"/>
          <w:szCs w:val="20"/>
        </w:rPr>
        <w:t xml:space="preserve"> </w:t>
      </w:r>
      <w:r w:rsidR="00A45345">
        <w:rPr>
          <w:sz w:val="20"/>
          <w:szCs w:val="20"/>
        </w:rPr>
        <w:t>r</w:t>
      </w:r>
      <w:r w:rsidR="003E0A4D">
        <w:rPr>
          <w:sz w:val="20"/>
          <w:szCs w:val="20"/>
        </w:rPr>
        <w:t>égies par le code français éponyme</w:t>
      </w:r>
      <w:r w:rsidR="00A45345">
        <w:rPr>
          <w:sz w:val="20"/>
          <w:szCs w:val="20"/>
        </w:rPr>
        <w:t xml:space="preserve"> </w:t>
      </w:r>
      <w:r w:rsidR="00BB17F6">
        <w:rPr>
          <w:sz w:val="20"/>
          <w:szCs w:val="20"/>
        </w:rPr>
        <w:t xml:space="preserve">ou </w:t>
      </w:r>
      <w:r w:rsidR="003E0A4D">
        <w:rPr>
          <w:sz w:val="20"/>
          <w:szCs w:val="20"/>
        </w:rPr>
        <w:t>par</w:t>
      </w:r>
      <w:r w:rsidR="00BB17F6">
        <w:rPr>
          <w:sz w:val="20"/>
          <w:szCs w:val="20"/>
        </w:rPr>
        <w:t xml:space="preserve"> la </w:t>
      </w:r>
      <w:r w:rsidR="003A4129">
        <w:rPr>
          <w:sz w:val="20"/>
          <w:szCs w:val="20"/>
        </w:rPr>
        <w:t>« </w:t>
      </w:r>
      <w:r w:rsidR="00BB17F6">
        <w:rPr>
          <w:sz w:val="20"/>
          <w:szCs w:val="20"/>
        </w:rPr>
        <w:t>Versicherungsgesetz</w:t>
      </w:r>
      <w:r w:rsidR="003A4129">
        <w:rPr>
          <w:sz w:val="20"/>
          <w:szCs w:val="20"/>
        </w:rPr>
        <w:t> »</w:t>
      </w:r>
      <w:r w:rsidR="003E0A4D">
        <w:rPr>
          <w:sz w:val="20"/>
          <w:szCs w:val="20"/>
        </w:rPr>
        <w:t xml:space="preserve"> allemande</w:t>
      </w:r>
      <w:r w:rsidR="00F73EA1">
        <w:rPr>
          <w:sz w:val="20"/>
          <w:szCs w:val="20"/>
        </w:rPr>
        <w:t>,</w:t>
      </w:r>
      <w:r w:rsidR="0083422F">
        <w:rPr>
          <w:sz w:val="20"/>
          <w:szCs w:val="20"/>
        </w:rPr>
        <w:t xml:space="preserve"> via l’intermédiation centrale et la </w:t>
      </w:r>
      <w:r w:rsidR="00CB23BF">
        <w:rPr>
          <w:sz w:val="20"/>
          <w:szCs w:val="20"/>
        </w:rPr>
        <w:t xml:space="preserve">médiation </w:t>
      </w:r>
      <w:r w:rsidR="00842AB6">
        <w:rPr>
          <w:sz w:val="20"/>
          <w:szCs w:val="20"/>
        </w:rPr>
        <w:t xml:space="preserve">territoriale </w:t>
      </w:r>
      <w:r w:rsidR="00CB23BF">
        <w:rPr>
          <w:sz w:val="20"/>
          <w:szCs w:val="20"/>
        </w:rPr>
        <w:t>de</w:t>
      </w:r>
      <w:r w:rsidR="003A4129">
        <w:rPr>
          <w:sz w:val="20"/>
          <w:szCs w:val="20"/>
        </w:rPr>
        <w:t>s b</w:t>
      </w:r>
      <w:r w:rsidR="00BB17F6">
        <w:rPr>
          <w:sz w:val="20"/>
          <w:szCs w:val="20"/>
        </w:rPr>
        <w:t>anque</w:t>
      </w:r>
      <w:r w:rsidR="003A4129">
        <w:rPr>
          <w:sz w:val="20"/>
          <w:szCs w:val="20"/>
        </w:rPr>
        <w:t>s c</w:t>
      </w:r>
      <w:r w:rsidR="00BB17F6">
        <w:rPr>
          <w:sz w:val="20"/>
          <w:szCs w:val="20"/>
        </w:rPr>
        <w:t>entrale</w:t>
      </w:r>
      <w:r w:rsidR="003A4129">
        <w:rPr>
          <w:sz w:val="20"/>
          <w:szCs w:val="20"/>
        </w:rPr>
        <w:t>s</w:t>
      </w:r>
      <w:r w:rsidR="00D16CB3">
        <w:rPr>
          <w:sz w:val="20"/>
          <w:szCs w:val="20"/>
        </w:rPr>
        <w:t xml:space="preserve"> nationales</w:t>
      </w:r>
      <w:r w:rsidR="00BB17F6">
        <w:rPr>
          <w:sz w:val="20"/>
          <w:szCs w:val="20"/>
        </w:rPr>
        <w:t>, Banque de France ou Bundesbank</w:t>
      </w:r>
      <w:r w:rsidR="00BB62F2">
        <w:rPr>
          <w:sz w:val="20"/>
          <w:szCs w:val="20"/>
        </w:rPr>
        <w:t>. A l’opposé de la débauche de création monétaire qu’entraîne le « Quantitative Easing » en cours, c</w:t>
      </w:r>
      <w:r w:rsidR="00AA7CCE">
        <w:rPr>
          <w:sz w:val="20"/>
          <w:szCs w:val="20"/>
        </w:rPr>
        <w:t xml:space="preserve">e processus </w:t>
      </w:r>
      <w:r w:rsidR="00C80A11">
        <w:rPr>
          <w:sz w:val="20"/>
          <w:szCs w:val="20"/>
        </w:rPr>
        <w:t>repose sur</w:t>
      </w:r>
      <w:r w:rsidR="00C93211">
        <w:rPr>
          <w:sz w:val="20"/>
          <w:szCs w:val="20"/>
        </w:rPr>
        <w:t xml:space="preserve"> une stratégie destinée à optimiser </w:t>
      </w:r>
      <w:r w:rsidR="00C80A11">
        <w:rPr>
          <w:sz w:val="20"/>
          <w:szCs w:val="20"/>
        </w:rPr>
        <w:t xml:space="preserve">rapidement et </w:t>
      </w:r>
      <w:r>
        <w:rPr>
          <w:sz w:val="20"/>
          <w:szCs w:val="20"/>
        </w:rPr>
        <w:t xml:space="preserve">durablement </w:t>
      </w:r>
      <w:r w:rsidR="00186426">
        <w:rPr>
          <w:sz w:val="20"/>
          <w:szCs w:val="20"/>
        </w:rPr>
        <w:t>le ratio :</w:t>
      </w:r>
      <w:r w:rsidR="00B11356">
        <w:rPr>
          <w:sz w:val="20"/>
          <w:szCs w:val="20"/>
        </w:rPr>
        <w:t xml:space="preserve"> </w:t>
      </w:r>
      <w:r w:rsidR="00A45345">
        <w:rPr>
          <w:sz w:val="20"/>
          <w:szCs w:val="20"/>
        </w:rPr>
        <w:t>« </w:t>
      </w:r>
      <w:r w:rsidR="00C93211">
        <w:rPr>
          <w:sz w:val="20"/>
          <w:szCs w:val="20"/>
        </w:rPr>
        <w:t>Efficacité économique</w:t>
      </w:r>
      <w:r w:rsidR="00AC521C">
        <w:rPr>
          <w:sz w:val="20"/>
          <w:szCs w:val="20"/>
        </w:rPr>
        <w:t xml:space="preserve">, environnementale </w:t>
      </w:r>
      <w:r w:rsidR="00C93211">
        <w:rPr>
          <w:sz w:val="20"/>
          <w:szCs w:val="20"/>
        </w:rPr>
        <w:t>et sociale/Moyens financiers utilisés</w:t>
      </w:r>
      <w:r w:rsidR="00A45345">
        <w:rPr>
          <w:sz w:val="20"/>
          <w:szCs w:val="20"/>
        </w:rPr>
        <w:t> »</w:t>
      </w:r>
      <w:r w:rsidR="00660B24">
        <w:rPr>
          <w:sz w:val="20"/>
          <w:szCs w:val="20"/>
        </w:rPr>
        <w:t>,</w:t>
      </w:r>
      <w:r w:rsidR="00784B1D">
        <w:rPr>
          <w:sz w:val="20"/>
          <w:szCs w:val="20"/>
        </w:rPr>
        <w:t xml:space="preserve"> sur le plan budgétaire et monétaire,</w:t>
      </w:r>
      <w:r w:rsidR="002F10D6">
        <w:rPr>
          <w:sz w:val="20"/>
          <w:szCs w:val="20"/>
        </w:rPr>
        <w:t xml:space="preserve"> pour l’ensemble des parties prenantes</w:t>
      </w:r>
      <w:r w:rsidR="00522692">
        <w:rPr>
          <w:sz w:val="20"/>
          <w:szCs w:val="20"/>
        </w:rPr>
        <w:t xml:space="preserve"> concernées</w:t>
      </w:r>
      <w:r w:rsidR="00C93211">
        <w:rPr>
          <w:sz w:val="20"/>
          <w:szCs w:val="20"/>
        </w:rPr>
        <w:t>.</w:t>
      </w:r>
      <w:r w:rsidR="00CB23BF">
        <w:rPr>
          <w:sz w:val="20"/>
          <w:szCs w:val="20"/>
        </w:rPr>
        <w:t xml:space="preserve"> </w:t>
      </w:r>
      <w:r w:rsidR="00FB298F">
        <w:rPr>
          <w:sz w:val="20"/>
          <w:szCs w:val="20"/>
        </w:rPr>
        <w:t>Le renforcement des fonds propres constitue en effet un préalable indispensable à la poursuite de l’endettement</w:t>
      </w:r>
      <w:r w:rsidR="0000278F">
        <w:rPr>
          <w:sz w:val="20"/>
          <w:szCs w:val="20"/>
        </w:rPr>
        <w:t xml:space="preserve"> déjà considérable</w:t>
      </w:r>
      <w:r w:rsidR="00FB298F">
        <w:rPr>
          <w:sz w:val="20"/>
          <w:szCs w:val="20"/>
        </w:rPr>
        <w:t xml:space="preserve"> des entreprises</w:t>
      </w:r>
      <w:r w:rsidR="00EC783D">
        <w:rPr>
          <w:sz w:val="20"/>
          <w:szCs w:val="20"/>
        </w:rPr>
        <w:t xml:space="preserve"> innovantes et créatrices d’emploi</w:t>
      </w:r>
      <w:r w:rsidR="00FB298F">
        <w:rPr>
          <w:sz w:val="20"/>
          <w:szCs w:val="20"/>
        </w:rPr>
        <w:t xml:space="preserve">. </w:t>
      </w:r>
      <w:r w:rsidR="00366C7B">
        <w:rPr>
          <w:sz w:val="20"/>
          <w:szCs w:val="20"/>
        </w:rPr>
        <w:t xml:space="preserve">Seuls les principes généraux </w:t>
      </w:r>
      <w:r w:rsidR="002F10D6">
        <w:rPr>
          <w:sz w:val="20"/>
          <w:szCs w:val="20"/>
        </w:rPr>
        <w:t xml:space="preserve">de ce processus </w:t>
      </w:r>
      <w:r w:rsidR="00A62973">
        <w:rPr>
          <w:sz w:val="20"/>
          <w:szCs w:val="20"/>
        </w:rPr>
        <w:t xml:space="preserve">sont </w:t>
      </w:r>
      <w:r w:rsidR="00842AB6">
        <w:rPr>
          <w:sz w:val="20"/>
          <w:szCs w:val="20"/>
        </w:rPr>
        <w:t>esquissé</w:t>
      </w:r>
      <w:r w:rsidR="006765DD">
        <w:rPr>
          <w:sz w:val="20"/>
          <w:szCs w:val="20"/>
        </w:rPr>
        <w:t>s</w:t>
      </w:r>
      <w:r w:rsidR="00842AB6">
        <w:rPr>
          <w:sz w:val="20"/>
          <w:szCs w:val="20"/>
        </w:rPr>
        <w:t xml:space="preserve"> </w:t>
      </w:r>
      <w:r w:rsidR="00D51DA6">
        <w:rPr>
          <w:sz w:val="20"/>
          <w:szCs w:val="20"/>
        </w:rPr>
        <w:t xml:space="preserve">ici </w:t>
      </w:r>
      <w:r w:rsidR="006765DD">
        <w:rPr>
          <w:sz w:val="20"/>
          <w:szCs w:val="20"/>
        </w:rPr>
        <w:t>à grands traits</w:t>
      </w:r>
      <w:r w:rsidR="003A4129">
        <w:rPr>
          <w:sz w:val="20"/>
          <w:szCs w:val="20"/>
        </w:rPr>
        <w:t xml:space="preserve">, les arguments </w:t>
      </w:r>
      <w:r w:rsidR="00A45345">
        <w:rPr>
          <w:sz w:val="20"/>
          <w:szCs w:val="20"/>
        </w:rPr>
        <w:t>détaillés</w:t>
      </w:r>
      <w:r w:rsidR="002B6EF4">
        <w:rPr>
          <w:sz w:val="20"/>
          <w:szCs w:val="20"/>
        </w:rPr>
        <w:t xml:space="preserve"> </w:t>
      </w:r>
      <w:r w:rsidR="006765DD">
        <w:rPr>
          <w:sz w:val="20"/>
          <w:szCs w:val="20"/>
        </w:rPr>
        <w:t>exigeant</w:t>
      </w:r>
      <w:r w:rsidR="00F73EA1">
        <w:rPr>
          <w:sz w:val="20"/>
          <w:szCs w:val="20"/>
        </w:rPr>
        <w:t xml:space="preserve"> de plus amples développements</w:t>
      </w:r>
      <w:r w:rsidR="003A4129">
        <w:rPr>
          <w:sz w:val="20"/>
          <w:szCs w:val="20"/>
        </w:rPr>
        <w:t xml:space="preserve"> techniques</w:t>
      </w:r>
      <w:r w:rsidR="00D01B0B">
        <w:rPr>
          <w:sz w:val="20"/>
          <w:szCs w:val="20"/>
        </w:rPr>
        <w:t xml:space="preserve"> qui font l’objet d’annexes</w:t>
      </w:r>
      <w:r w:rsidR="00366C7B">
        <w:rPr>
          <w:sz w:val="20"/>
          <w:szCs w:val="20"/>
        </w:rPr>
        <w:t>.</w:t>
      </w:r>
      <w:r w:rsidR="00812622">
        <w:rPr>
          <w:sz w:val="20"/>
          <w:szCs w:val="20"/>
        </w:rPr>
        <w:t xml:space="preserve"> Les institution</w:t>
      </w:r>
      <w:r w:rsidR="00BB17F6">
        <w:rPr>
          <w:sz w:val="20"/>
          <w:szCs w:val="20"/>
        </w:rPr>
        <w:t>s ne respectant pas le principe de la capitalisation (</w:t>
      </w:r>
      <w:r w:rsidR="00F73EA1">
        <w:rPr>
          <w:sz w:val="20"/>
          <w:szCs w:val="20"/>
        </w:rPr>
        <w:t xml:space="preserve">à savoir des </w:t>
      </w:r>
      <w:r w:rsidR="00BB17F6">
        <w:rPr>
          <w:sz w:val="20"/>
          <w:szCs w:val="20"/>
        </w:rPr>
        <w:t xml:space="preserve">engagements à long terme couverts </w:t>
      </w:r>
      <w:r w:rsidR="0086251F">
        <w:rPr>
          <w:sz w:val="20"/>
          <w:szCs w:val="20"/>
        </w:rPr>
        <w:t xml:space="preserve">en temps réel </w:t>
      </w:r>
      <w:r w:rsidR="00BB17F6">
        <w:rPr>
          <w:sz w:val="20"/>
          <w:szCs w:val="20"/>
        </w:rPr>
        <w:t xml:space="preserve">par des </w:t>
      </w:r>
      <w:r w:rsidR="00841F2C">
        <w:rPr>
          <w:sz w:val="20"/>
          <w:szCs w:val="20"/>
        </w:rPr>
        <w:t>placements</w:t>
      </w:r>
      <w:r w:rsidR="00BB17F6">
        <w:rPr>
          <w:sz w:val="20"/>
          <w:szCs w:val="20"/>
        </w:rPr>
        <w:t xml:space="preserve"> financi</w:t>
      </w:r>
      <w:r w:rsidR="00841F2C">
        <w:rPr>
          <w:sz w:val="20"/>
          <w:szCs w:val="20"/>
        </w:rPr>
        <w:t>e</w:t>
      </w:r>
      <w:r w:rsidR="00BB17F6">
        <w:rPr>
          <w:sz w:val="20"/>
          <w:szCs w:val="20"/>
        </w:rPr>
        <w:t>rs suffisants)</w:t>
      </w:r>
      <w:r w:rsidR="00D02874">
        <w:rPr>
          <w:sz w:val="20"/>
          <w:szCs w:val="20"/>
        </w:rPr>
        <w:t xml:space="preserve"> subissent </w:t>
      </w:r>
      <w:r w:rsidR="00522692">
        <w:rPr>
          <w:sz w:val="20"/>
          <w:szCs w:val="20"/>
        </w:rPr>
        <w:t xml:space="preserve">aujourd’hui </w:t>
      </w:r>
      <w:r w:rsidR="00D02874">
        <w:rPr>
          <w:sz w:val="20"/>
          <w:szCs w:val="20"/>
        </w:rPr>
        <w:t>de plein fouet les conséquences de leurs dérèglements</w:t>
      </w:r>
      <w:r w:rsidR="00F73EA1">
        <w:rPr>
          <w:sz w:val="20"/>
          <w:szCs w:val="20"/>
        </w:rPr>
        <w:t xml:space="preserve"> financiers structurels : elles</w:t>
      </w:r>
      <w:r w:rsidR="00812622">
        <w:rPr>
          <w:sz w:val="20"/>
          <w:szCs w:val="20"/>
        </w:rPr>
        <w:t xml:space="preserve"> ne sont pas concerné</w:t>
      </w:r>
      <w:r w:rsidR="00522692">
        <w:rPr>
          <w:sz w:val="20"/>
          <w:szCs w:val="20"/>
        </w:rPr>
        <w:t>e</w:t>
      </w:r>
      <w:r w:rsidR="00812622">
        <w:rPr>
          <w:sz w:val="20"/>
          <w:szCs w:val="20"/>
        </w:rPr>
        <w:t>s par ce scenario.</w:t>
      </w:r>
      <w:r w:rsidR="00E96FD4">
        <w:rPr>
          <w:sz w:val="20"/>
          <w:szCs w:val="20"/>
        </w:rPr>
        <w:t xml:space="preserve"> Ces de</w:t>
      </w:r>
      <w:r w:rsidR="00BB17F6">
        <w:rPr>
          <w:sz w:val="20"/>
          <w:szCs w:val="20"/>
        </w:rPr>
        <w:t>rnier</w:t>
      </w:r>
      <w:r w:rsidR="00E96FD4">
        <w:rPr>
          <w:sz w:val="20"/>
          <w:szCs w:val="20"/>
        </w:rPr>
        <w:t xml:space="preserve">s </w:t>
      </w:r>
      <w:r w:rsidR="00702E09">
        <w:rPr>
          <w:sz w:val="20"/>
          <w:szCs w:val="20"/>
        </w:rPr>
        <w:t>organismes</w:t>
      </w:r>
      <w:r w:rsidR="00084A4C">
        <w:rPr>
          <w:sz w:val="20"/>
          <w:szCs w:val="20"/>
        </w:rPr>
        <w:t>, publics ou paritaires</w:t>
      </w:r>
      <w:r w:rsidR="006765DD">
        <w:rPr>
          <w:sz w:val="20"/>
          <w:szCs w:val="20"/>
        </w:rPr>
        <w:t>,</w:t>
      </w:r>
      <w:r w:rsidR="00702E09">
        <w:rPr>
          <w:sz w:val="20"/>
          <w:szCs w:val="20"/>
        </w:rPr>
        <w:t xml:space="preserve"> </w:t>
      </w:r>
      <w:r w:rsidR="00E96FD4">
        <w:rPr>
          <w:sz w:val="20"/>
          <w:szCs w:val="20"/>
        </w:rPr>
        <w:t>ont en effet, pour beaucoup, à gérer des passifs à long terme</w:t>
      </w:r>
      <w:r w:rsidR="00702E09">
        <w:rPr>
          <w:sz w:val="20"/>
          <w:szCs w:val="20"/>
        </w:rPr>
        <w:t xml:space="preserve"> (</w:t>
      </w:r>
      <w:r w:rsidR="000536D2">
        <w:rPr>
          <w:sz w:val="20"/>
          <w:szCs w:val="20"/>
        </w:rPr>
        <w:t xml:space="preserve">maladie, </w:t>
      </w:r>
      <w:r w:rsidR="00702E09">
        <w:rPr>
          <w:sz w:val="20"/>
          <w:szCs w:val="20"/>
        </w:rPr>
        <w:t>retraite, dépendance,</w:t>
      </w:r>
      <w:r w:rsidR="002B6EF4">
        <w:rPr>
          <w:sz w:val="20"/>
          <w:szCs w:val="20"/>
        </w:rPr>
        <w:t xml:space="preserve"> </w:t>
      </w:r>
      <w:r w:rsidR="00702E09">
        <w:rPr>
          <w:sz w:val="20"/>
          <w:szCs w:val="20"/>
        </w:rPr>
        <w:t>…)</w:t>
      </w:r>
      <w:r w:rsidR="00E96FD4">
        <w:rPr>
          <w:sz w:val="20"/>
          <w:szCs w:val="20"/>
        </w:rPr>
        <w:t xml:space="preserve"> en situation de déficits chroniques</w:t>
      </w:r>
      <w:r w:rsidR="003A4129">
        <w:rPr>
          <w:sz w:val="20"/>
          <w:szCs w:val="20"/>
        </w:rPr>
        <w:t>, ce qui appelle d’autres types d’interventions</w:t>
      </w:r>
      <w:r w:rsidR="008C058B">
        <w:rPr>
          <w:sz w:val="20"/>
          <w:szCs w:val="20"/>
        </w:rPr>
        <w:t xml:space="preserve"> et d’innovations spécifiques</w:t>
      </w:r>
      <w:r w:rsidR="003A4129">
        <w:rPr>
          <w:sz w:val="20"/>
          <w:szCs w:val="20"/>
        </w:rPr>
        <w:t xml:space="preserve"> à finalités économiques et sociales</w:t>
      </w:r>
      <w:r w:rsidR="00E96FD4">
        <w:rPr>
          <w:sz w:val="20"/>
          <w:szCs w:val="20"/>
        </w:rPr>
        <w:t>.</w:t>
      </w:r>
      <w:r w:rsidR="00084A4C">
        <w:rPr>
          <w:sz w:val="20"/>
          <w:szCs w:val="20"/>
        </w:rPr>
        <w:t xml:space="preserve"> A titre d’exemple, l</w:t>
      </w:r>
      <w:r w:rsidR="000536D2">
        <w:rPr>
          <w:sz w:val="20"/>
          <w:szCs w:val="20"/>
        </w:rPr>
        <w:t>e principe du transfert de dettes de la Sécurité Sociale française pour 136 milliards € (31 milliards € de déficits de la S</w:t>
      </w:r>
      <w:r w:rsidR="00FD7D9B">
        <w:rPr>
          <w:sz w:val="20"/>
          <w:szCs w:val="20"/>
        </w:rPr>
        <w:t>.</w:t>
      </w:r>
      <w:r w:rsidR="000536D2">
        <w:rPr>
          <w:sz w:val="20"/>
          <w:szCs w:val="20"/>
        </w:rPr>
        <w:t>S</w:t>
      </w:r>
      <w:r w:rsidR="00FD7D9B">
        <w:rPr>
          <w:sz w:val="20"/>
          <w:szCs w:val="20"/>
        </w:rPr>
        <w:t>.</w:t>
      </w:r>
      <w:r w:rsidR="000536D2">
        <w:rPr>
          <w:sz w:val="20"/>
          <w:szCs w:val="20"/>
        </w:rPr>
        <w:t xml:space="preserve"> au 31.12 2019 ;</w:t>
      </w:r>
      <w:r w:rsidR="00A40063">
        <w:rPr>
          <w:sz w:val="20"/>
          <w:szCs w:val="20"/>
        </w:rPr>
        <w:t xml:space="preserve"> </w:t>
      </w:r>
      <w:r w:rsidR="000536D2">
        <w:rPr>
          <w:sz w:val="20"/>
          <w:szCs w:val="20"/>
        </w:rPr>
        <w:t>92 milliards de déficits estimés sur 2020 à 2022 ; 13 milliards de dettes hospitalières</w:t>
      </w:r>
      <w:r w:rsidR="002D4B0E">
        <w:rPr>
          <w:sz w:val="20"/>
          <w:szCs w:val="20"/>
        </w:rPr>
        <w:t>)</w:t>
      </w:r>
      <w:r w:rsidR="000536D2">
        <w:rPr>
          <w:sz w:val="20"/>
          <w:szCs w:val="20"/>
        </w:rPr>
        <w:t xml:space="preserve"> vers la </w:t>
      </w:r>
      <w:r w:rsidR="00183284">
        <w:rPr>
          <w:sz w:val="20"/>
          <w:szCs w:val="20"/>
        </w:rPr>
        <w:t>« </w:t>
      </w:r>
      <w:r w:rsidR="000536D2">
        <w:rPr>
          <w:sz w:val="20"/>
          <w:szCs w:val="20"/>
        </w:rPr>
        <w:t>Cades</w:t>
      </w:r>
      <w:r w:rsidR="00183284">
        <w:rPr>
          <w:sz w:val="20"/>
          <w:szCs w:val="20"/>
        </w:rPr>
        <w:t> »</w:t>
      </w:r>
      <w:r w:rsidR="000536D2">
        <w:rPr>
          <w:sz w:val="20"/>
          <w:szCs w:val="20"/>
        </w:rPr>
        <w:t xml:space="preserve"> (</w:t>
      </w:r>
      <w:r w:rsidR="00183284">
        <w:rPr>
          <w:sz w:val="20"/>
          <w:szCs w:val="20"/>
        </w:rPr>
        <w:t>« </w:t>
      </w:r>
      <w:r w:rsidR="000536D2">
        <w:rPr>
          <w:sz w:val="20"/>
          <w:szCs w:val="20"/>
        </w:rPr>
        <w:t>Caisse d</w:t>
      </w:r>
      <w:r w:rsidR="00084A4C">
        <w:rPr>
          <w:sz w:val="20"/>
          <w:szCs w:val="20"/>
        </w:rPr>
        <w:t>’Amortissements de la Dette S</w:t>
      </w:r>
      <w:r w:rsidR="000536D2">
        <w:rPr>
          <w:sz w:val="20"/>
          <w:szCs w:val="20"/>
        </w:rPr>
        <w:t>ociale</w:t>
      </w:r>
      <w:r w:rsidR="00183284">
        <w:rPr>
          <w:sz w:val="20"/>
          <w:szCs w:val="20"/>
        </w:rPr>
        <w:t> »</w:t>
      </w:r>
      <w:r w:rsidR="000536D2">
        <w:rPr>
          <w:sz w:val="20"/>
          <w:szCs w:val="20"/>
        </w:rPr>
        <w:t>) illustre cet inquiétant constat</w:t>
      </w:r>
      <w:r w:rsidR="002D4B0E">
        <w:rPr>
          <w:sz w:val="20"/>
          <w:szCs w:val="20"/>
        </w:rPr>
        <w:t>…</w:t>
      </w:r>
      <w:r w:rsidR="00334ADE">
        <w:rPr>
          <w:sz w:val="20"/>
          <w:szCs w:val="20"/>
        </w:rPr>
        <w:t xml:space="preserve"> </w:t>
      </w:r>
      <w:r w:rsidR="00A40063">
        <w:rPr>
          <w:sz w:val="20"/>
          <w:szCs w:val="20"/>
        </w:rPr>
        <w:t>qui n’augure rien de bon pour le contribuable français.</w:t>
      </w:r>
      <w:r w:rsidR="004417FE">
        <w:rPr>
          <w:sz w:val="20"/>
          <w:szCs w:val="20"/>
        </w:rPr>
        <w:t xml:space="preserve"> </w:t>
      </w:r>
      <w:r w:rsidR="00D73B19">
        <w:rPr>
          <w:sz w:val="20"/>
          <w:szCs w:val="20"/>
        </w:rPr>
        <w:t xml:space="preserve">Le déficit de la SS est estimé à </w:t>
      </w:r>
      <w:r w:rsidR="00016B42">
        <w:rPr>
          <w:sz w:val="20"/>
          <w:szCs w:val="20"/>
        </w:rPr>
        <w:t>environ</w:t>
      </w:r>
      <w:r w:rsidR="00D73B19">
        <w:rPr>
          <w:sz w:val="20"/>
          <w:szCs w:val="20"/>
        </w:rPr>
        <w:t xml:space="preserve"> </w:t>
      </w:r>
      <w:r w:rsidR="00160B5B">
        <w:rPr>
          <w:sz w:val="20"/>
          <w:szCs w:val="20"/>
        </w:rPr>
        <w:t>45</w:t>
      </w:r>
      <w:r w:rsidR="00D73B19">
        <w:rPr>
          <w:sz w:val="20"/>
          <w:szCs w:val="20"/>
        </w:rPr>
        <w:t xml:space="preserve"> milliards € pour 2020</w:t>
      </w:r>
      <w:r w:rsidR="004417FE">
        <w:rPr>
          <w:sz w:val="20"/>
          <w:szCs w:val="20"/>
        </w:rPr>
        <w:t xml:space="preserve"> avec une perte record pour l’assurance maladie</w:t>
      </w:r>
      <w:r w:rsidR="00160B5B">
        <w:rPr>
          <w:sz w:val="20"/>
          <w:szCs w:val="20"/>
        </w:rPr>
        <w:t xml:space="preserve"> de l’ordre de 30 milliards €</w:t>
      </w:r>
      <w:r w:rsidR="00D73B19">
        <w:rPr>
          <w:sz w:val="20"/>
          <w:szCs w:val="20"/>
        </w:rPr>
        <w:t>…</w:t>
      </w:r>
      <w:r w:rsidR="00A40063">
        <w:rPr>
          <w:sz w:val="20"/>
          <w:szCs w:val="20"/>
        </w:rPr>
        <w:t xml:space="preserve"> La durée de vie de la </w:t>
      </w:r>
      <w:r w:rsidR="00E47E37">
        <w:rPr>
          <w:sz w:val="20"/>
          <w:szCs w:val="20"/>
        </w:rPr>
        <w:t>« </w:t>
      </w:r>
      <w:r w:rsidR="00A40063">
        <w:rPr>
          <w:sz w:val="20"/>
          <w:szCs w:val="20"/>
        </w:rPr>
        <w:t>Cades</w:t>
      </w:r>
      <w:r w:rsidR="00E47E37">
        <w:rPr>
          <w:sz w:val="20"/>
          <w:szCs w:val="20"/>
        </w:rPr>
        <w:t> »</w:t>
      </w:r>
      <w:r w:rsidR="00A40063">
        <w:rPr>
          <w:sz w:val="20"/>
          <w:szCs w:val="20"/>
        </w:rPr>
        <w:t xml:space="preserve"> a été </w:t>
      </w:r>
      <w:r w:rsidR="00334ADE">
        <w:rPr>
          <w:sz w:val="20"/>
          <w:szCs w:val="20"/>
        </w:rPr>
        <w:t xml:space="preserve">en effet </w:t>
      </w:r>
      <w:r w:rsidR="00A40063">
        <w:rPr>
          <w:sz w:val="20"/>
          <w:szCs w:val="20"/>
        </w:rPr>
        <w:t>reportée</w:t>
      </w:r>
      <w:r w:rsidR="006765DD">
        <w:rPr>
          <w:sz w:val="20"/>
          <w:szCs w:val="20"/>
        </w:rPr>
        <w:t xml:space="preserve"> discrètement</w:t>
      </w:r>
      <w:r w:rsidR="00784B1D">
        <w:rPr>
          <w:sz w:val="20"/>
          <w:szCs w:val="20"/>
        </w:rPr>
        <w:t>, dans le courant de l’été,</w:t>
      </w:r>
      <w:r w:rsidR="006765DD">
        <w:rPr>
          <w:sz w:val="20"/>
          <w:szCs w:val="20"/>
        </w:rPr>
        <w:t xml:space="preserve"> </w:t>
      </w:r>
      <w:r w:rsidR="00A40063">
        <w:rPr>
          <w:sz w:val="20"/>
          <w:szCs w:val="20"/>
        </w:rPr>
        <w:t>de 2024 à 2033</w:t>
      </w:r>
      <w:r w:rsidR="00084A4C">
        <w:rPr>
          <w:sz w:val="20"/>
          <w:szCs w:val="20"/>
        </w:rPr>
        <w:t xml:space="preserve"> en vue de nouvelles émissions sur les marchés financiers</w:t>
      </w:r>
      <w:r w:rsidR="0086251F">
        <w:rPr>
          <w:sz w:val="20"/>
          <w:szCs w:val="20"/>
        </w:rPr>
        <w:t> ;</w:t>
      </w:r>
      <w:r w:rsidR="00084A4C">
        <w:rPr>
          <w:sz w:val="20"/>
          <w:szCs w:val="20"/>
        </w:rPr>
        <w:t xml:space="preserve"> </w:t>
      </w:r>
      <w:r w:rsidR="0086251F">
        <w:rPr>
          <w:sz w:val="20"/>
          <w:szCs w:val="20"/>
        </w:rPr>
        <w:t>ceux-ci</w:t>
      </w:r>
      <w:r w:rsidR="00084A4C">
        <w:rPr>
          <w:sz w:val="20"/>
          <w:szCs w:val="20"/>
        </w:rPr>
        <w:t xml:space="preserve"> n’ont pas été informés, pour le moment, des modalités retenues pour amortir cette dette considérable</w:t>
      </w:r>
      <w:r w:rsidR="00D3542D">
        <w:rPr>
          <w:sz w:val="20"/>
          <w:szCs w:val="20"/>
        </w:rPr>
        <w:t>, surtout si</w:t>
      </w:r>
      <w:r w:rsidR="00784B1D">
        <w:rPr>
          <w:sz w:val="20"/>
          <w:szCs w:val="20"/>
        </w:rPr>
        <w:t xml:space="preserve"> l’Etat français décidait d’y</w:t>
      </w:r>
      <w:r w:rsidR="00D3542D">
        <w:rPr>
          <w:sz w:val="20"/>
          <w:szCs w:val="20"/>
        </w:rPr>
        <w:t xml:space="preserve"> ajout</w:t>
      </w:r>
      <w:r w:rsidR="00784B1D">
        <w:rPr>
          <w:sz w:val="20"/>
          <w:szCs w:val="20"/>
        </w:rPr>
        <w:t>er</w:t>
      </w:r>
      <w:r w:rsidR="00D3542D">
        <w:rPr>
          <w:sz w:val="20"/>
          <w:szCs w:val="20"/>
        </w:rPr>
        <w:t xml:space="preserve"> les 5</w:t>
      </w:r>
      <w:r w:rsidR="00841F2C">
        <w:rPr>
          <w:sz w:val="20"/>
          <w:szCs w:val="20"/>
        </w:rPr>
        <w:t xml:space="preserve">5 </w:t>
      </w:r>
      <w:r w:rsidR="00D3542D">
        <w:rPr>
          <w:sz w:val="20"/>
          <w:szCs w:val="20"/>
        </w:rPr>
        <w:t>milliards</w:t>
      </w:r>
      <w:r w:rsidR="00BD6B35">
        <w:rPr>
          <w:sz w:val="20"/>
          <w:szCs w:val="20"/>
        </w:rPr>
        <w:t xml:space="preserve"> </w:t>
      </w:r>
      <w:r w:rsidR="00841F2C">
        <w:rPr>
          <w:sz w:val="20"/>
          <w:szCs w:val="20"/>
        </w:rPr>
        <w:t xml:space="preserve">€ </w:t>
      </w:r>
      <w:r w:rsidR="00784B1D">
        <w:rPr>
          <w:sz w:val="20"/>
          <w:szCs w:val="20"/>
        </w:rPr>
        <w:t>environ</w:t>
      </w:r>
      <w:r w:rsidR="00D3542D">
        <w:rPr>
          <w:sz w:val="20"/>
          <w:szCs w:val="20"/>
        </w:rPr>
        <w:t xml:space="preserve"> de l’assurance-chômage</w:t>
      </w:r>
      <w:r w:rsidR="00841F2C">
        <w:rPr>
          <w:sz w:val="20"/>
          <w:szCs w:val="20"/>
        </w:rPr>
        <w:t xml:space="preserve">, </w:t>
      </w:r>
      <w:r w:rsidR="00D3542D">
        <w:rPr>
          <w:sz w:val="20"/>
          <w:szCs w:val="20"/>
        </w:rPr>
        <w:t xml:space="preserve">dont la moitié </w:t>
      </w:r>
      <w:r w:rsidR="00784B1D">
        <w:rPr>
          <w:sz w:val="20"/>
          <w:szCs w:val="20"/>
        </w:rPr>
        <w:t>résulte</w:t>
      </w:r>
      <w:r w:rsidR="00D3542D">
        <w:rPr>
          <w:sz w:val="20"/>
          <w:szCs w:val="20"/>
        </w:rPr>
        <w:t xml:space="preserve"> des mesures exceptionnelles de l’année 2020</w:t>
      </w:r>
      <w:r w:rsidR="00A40063">
        <w:rPr>
          <w:sz w:val="20"/>
          <w:szCs w:val="20"/>
        </w:rPr>
        <w:t>.</w:t>
      </w:r>
      <w:r w:rsidR="00841F2C">
        <w:rPr>
          <w:sz w:val="20"/>
          <w:szCs w:val="20"/>
        </w:rPr>
        <w:t xml:space="preserve"> A titre indicatif, la contribution de l’UNEDIC au financement de l’activité partielle a concerné 9 millions de personnes pendant l’été 2020. Le déficit actuellement envisagé pour l’assurance chômage en 2021, de l’ordre de 10 milliards €, porterait la dette</w:t>
      </w:r>
      <w:r w:rsidR="0086251F">
        <w:rPr>
          <w:sz w:val="20"/>
          <w:szCs w:val="20"/>
        </w:rPr>
        <w:t xml:space="preserve">, </w:t>
      </w:r>
      <w:r w:rsidR="00FF39C3">
        <w:rPr>
          <w:sz w:val="20"/>
          <w:szCs w:val="20"/>
        </w:rPr>
        <w:t xml:space="preserve"> </w:t>
      </w:r>
      <w:r w:rsidR="00B6638F">
        <w:rPr>
          <w:sz w:val="20"/>
          <w:szCs w:val="20"/>
        </w:rPr>
        <w:t xml:space="preserve">ainsi </w:t>
      </w:r>
      <w:r w:rsidR="0086251F">
        <w:rPr>
          <w:sz w:val="20"/>
          <w:szCs w:val="20"/>
        </w:rPr>
        <w:t xml:space="preserve"> </w:t>
      </w:r>
      <w:r w:rsidR="00841F2C">
        <w:rPr>
          <w:sz w:val="20"/>
          <w:szCs w:val="20"/>
        </w:rPr>
        <w:t>transfér</w:t>
      </w:r>
      <w:r w:rsidR="0086251F">
        <w:rPr>
          <w:sz w:val="20"/>
          <w:szCs w:val="20"/>
        </w:rPr>
        <w:t xml:space="preserve">ée  </w:t>
      </w:r>
      <w:r w:rsidR="00FF39C3">
        <w:rPr>
          <w:sz w:val="20"/>
          <w:szCs w:val="20"/>
        </w:rPr>
        <w:t>à la Cades et aux marchés financiers</w:t>
      </w:r>
      <w:r w:rsidR="0086251F">
        <w:rPr>
          <w:sz w:val="20"/>
          <w:szCs w:val="20"/>
        </w:rPr>
        <w:t>,</w:t>
      </w:r>
      <w:r w:rsidR="00FF39C3">
        <w:rPr>
          <w:sz w:val="20"/>
          <w:szCs w:val="20"/>
        </w:rPr>
        <w:t xml:space="preserve"> </w:t>
      </w:r>
      <w:r w:rsidR="00841F2C">
        <w:rPr>
          <w:sz w:val="20"/>
          <w:szCs w:val="20"/>
        </w:rPr>
        <w:t xml:space="preserve"> à 65 milliards € …</w:t>
      </w:r>
    </w:p>
    <w:p w14:paraId="1FB24113" w14:textId="000C568D" w:rsidR="00C97942" w:rsidRDefault="00C97942" w:rsidP="00E82199">
      <w:pPr>
        <w:jc w:val="both"/>
        <w:rPr>
          <w:sz w:val="20"/>
          <w:szCs w:val="20"/>
        </w:rPr>
      </w:pPr>
      <w:r>
        <w:rPr>
          <w:sz w:val="20"/>
          <w:szCs w:val="20"/>
        </w:rPr>
        <w:t>Il va de soi que les estimations utilisées pour ce diagnostic initial</w:t>
      </w:r>
      <w:r w:rsidR="000269D7">
        <w:rPr>
          <w:sz w:val="20"/>
          <w:szCs w:val="20"/>
        </w:rPr>
        <w:t>,</w:t>
      </w:r>
      <w:r w:rsidR="00A02DAB">
        <w:rPr>
          <w:sz w:val="20"/>
          <w:szCs w:val="20"/>
        </w:rPr>
        <w:t xml:space="preserve"> ainsi que les analyses des soutiens à l’économie</w:t>
      </w:r>
      <w:r>
        <w:rPr>
          <w:sz w:val="20"/>
          <w:szCs w:val="20"/>
        </w:rPr>
        <w:t xml:space="preserve"> sont appelées à être révisée en fonction des hypothèses de retour à meilleure fortune </w:t>
      </w:r>
      <w:r w:rsidR="00DB63C1">
        <w:rPr>
          <w:sz w:val="20"/>
          <w:szCs w:val="20"/>
        </w:rPr>
        <w:t>en Europe</w:t>
      </w:r>
      <w:r w:rsidR="000269D7">
        <w:rPr>
          <w:sz w:val="20"/>
          <w:szCs w:val="20"/>
        </w:rPr>
        <w:t xml:space="preserve"> qui ne manqueront pas d’être formulées d’ici la fin de l’année </w:t>
      </w:r>
      <w:r>
        <w:rPr>
          <w:sz w:val="20"/>
          <w:szCs w:val="20"/>
        </w:rPr>
        <w:t>: courbes de croissance en V, WW…voire en L.</w:t>
      </w:r>
    </w:p>
    <w:p w14:paraId="395F4C47" w14:textId="3DB12136" w:rsidR="00841F2C" w:rsidRDefault="00841F2C" w:rsidP="00E82199">
      <w:pPr>
        <w:jc w:val="both"/>
        <w:rPr>
          <w:sz w:val="20"/>
          <w:szCs w:val="20"/>
        </w:rPr>
      </w:pPr>
    </w:p>
    <w:p w14:paraId="112D8D7A" w14:textId="68D003FD" w:rsidR="00E82199" w:rsidRPr="008E17F0" w:rsidRDefault="00E96FD4" w:rsidP="008E17F0">
      <w:pPr>
        <w:pStyle w:val="Paragraphedeliste"/>
        <w:numPr>
          <w:ilvl w:val="0"/>
          <w:numId w:val="3"/>
        </w:numPr>
        <w:jc w:val="both"/>
        <w:rPr>
          <w:sz w:val="20"/>
          <w:szCs w:val="20"/>
        </w:rPr>
      </w:pPr>
      <w:r w:rsidRPr="008E17F0">
        <w:rPr>
          <w:sz w:val="20"/>
          <w:szCs w:val="20"/>
          <w:u w:val="single"/>
        </w:rPr>
        <w:t>Recours aux t</w:t>
      </w:r>
      <w:r w:rsidR="00813A98" w:rsidRPr="008E17F0">
        <w:rPr>
          <w:sz w:val="20"/>
          <w:szCs w:val="20"/>
          <w:u w:val="single"/>
        </w:rPr>
        <w:t xml:space="preserve">itres </w:t>
      </w:r>
      <w:r w:rsidRPr="008E17F0">
        <w:rPr>
          <w:sz w:val="20"/>
          <w:szCs w:val="20"/>
          <w:u w:val="single"/>
        </w:rPr>
        <w:t>p</w:t>
      </w:r>
      <w:r w:rsidR="00813A98" w:rsidRPr="008E17F0">
        <w:rPr>
          <w:sz w:val="20"/>
          <w:szCs w:val="20"/>
          <w:u w:val="single"/>
        </w:rPr>
        <w:t>articipatifs</w:t>
      </w:r>
      <w:r w:rsidR="00522692" w:rsidRPr="008E17F0">
        <w:rPr>
          <w:sz w:val="20"/>
          <w:szCs w:val="20"/>
          <w:u w:val="single"/>
        </w:rPr>
        <w:t>, subordonné ou hybrides</w:t>
      </w:r>
      <w:r w:rsidR="00C80A11" w:rsidRPr="008E17F0">
        <w:rPr>
          <w:sz w:val="20"/>
          <w:szCs w:val="20"/>
          <w:u w:val="single"/>
        </w:rPr>
        <w:t xml:space="preserve"> selon les</w:t>
      </w:r>
      <w:r w:rsidR="00CB23BF" w:rsidRPr="008E17F0">
        <w:rPr>
          <w:sz w:val="20"/>
          <w:szCs w:val="20"/>
          <w:u w:val="single"/>
        </w:rPr>
        <w:t xml:space="preserve"> </w:t>
      </w:r>
      <w:r w:rsidR="00E7314E" w:rsidRPr="008E17F0">
        <w:rPr>
          <w:sz w:val="20"/>
          <w:szCs w:val="20"/>
          <w:u w:val="single"/>
        </w:rPr>
        <w:t>catégories d’</w:t>
      </w:r>
      <w:r w:rsidR="00CB23BF" w:rsidRPr="008E17F0">
        <w:rPr>
          <w:sz w:val="20"/>
          <w:szCs w:val="20"/>
          <w:u w:val="single"/>
        </w:rPr>
        <w:t>entreprise</w:t>
      </w:r>
      <w:r w:rsidR="00E7314E" w:rsidRPr="008E17F0">
        <w:rPr>
          <w:sz w:val="20"/>
          <w:szCs w:val="20"/>
          <w:u w:val="single"/>
        </w:rPr>
        <w:t>s</w:t>
      </w:r>
      <w:r w:rsidR="00E82199" w:rsidRPr="008E17F0">
        <w:rPr>
          <w:sz w:val="20"/>
          <w:szCs w:val="20"/>
          <w:u w:val="single"/>
        </w:rPr>
        <w:t xml:space="preserve"> à financer</w:t>
      </w:r>
      <w:r w:rsidR="000C55CE" w:rsidRPr="008E17F0">
        <w:rPr>
          <w:sz w:val="20"/>
          <w:szCs w:val="20"/>
          <w:u w:val="single"/>
        </w:rPr>
        <w:t xml:space="preserve"> </w:t>
      </w:r>
    </w:p>
    <w:p w14:paraId="1B992E5B" w14:textId="77777777" w:rsidR="00CB23BF" w:rsidRPr="00E82199" w:rsidRDefault="00CB23BF" w:rsidP="00E82199">
      <w:pPr>
        <w:pStyle w:val="Paragraphedeliste"/>
        <w:jc w:val="both"/>
        <w:rPr>
          <w:u w:val="single"/>
        </w:rPr>
      </w:pPr>
    </w:p>
    <w:p w14:paraId="5E9412E7" w14:textId="2B5348F2" w:rsidR="00CB23BF" w:rsidRDefault="00CB23BF" w:rsidP="00E82199">
      <w:pPr>
        <w:pStyle w:val="Paragraphedeliste"/>
        <w:numPr>
          <w:ilvl w:val="0"/>
          <w:numId w:val="2"/>
        </w:numPr>
        <w:jc w:val="both"/>
      </w:pPr>
      <w:r>
        <w:t>Les grandes entreprises industrielles et co</w:t>
      </w:r>
      <w:r w:rsidR="00C80A11">
        <w:t>mmerciales</w:t>
      </w:r>
      <w:r>
        <w:t xml:space="preserve"> </w:t>
      </w:r>
      <w:r w:rsidR="002D4B0E">
        <w:t>continueront à bénéficier</w:t>
      </w:r>
      <w:r>
        <w:t xml:space="preserve"> </w:t>
      </w:r>
      <w:r w:rsidR="00692FB3">
        <w:t xml:space="preserve">vraisemblablement </w:t>
      </w:r>
      <w:r>
        <w:t xml:space="preserve">de </w:t>
      </w:r>
      <w:r w:rsidR="002F10D6">
        <w:t>garanties et</w:t>
      </w:r>
      <w:r w:rsidR="008769F9">
        <w:t>/ou</w:t>
      </w:r>
      <w:r w:rsidR="002F10D6">
        <w:t xml:space="preserve"> </w:t>
      </w:r>
      <w:r>
        <w:t>subventions d’Etat si elles ne parviennent pas à réunir les financements souhaitables</w:t>
      </w:r>
      <w:r w:rsidR="002F10D6">
        <w:t xml:space="preserve"> avant leur</w:t>
      </w:r>
      <w:r w:rsidR="00692FB3">
        <w:t xml:space="preserve"> retour à meilleure fortune</w:t>
      </w:r>
      <w:r>
        <w:t> ;</w:t>
      </w:r>
      <w:r w:rsidR="00C93211">
        <w:t xml:space="preserve"> </w:t>
      </w:r>
      <w:r>
        <w:t xml:space="preserve">les titres </w:t>
      </w:r>
      <w:r w:rsidR="002F10D6">
        <w:t xml:space="preserve">financiers </w:t>
      </w:r>
      <w:r w:rsidR="00522692">
        <w:t xml:space="preserve">hybrides ou </w:t>
      </w:r>
      <w:r>
        <w:t>s</w:t>
      </w:r>
      <w:r w:rsidR="00E96FD4">
        <w:t>ubordonnés, do</w:t>
      </w:r>
      <w:r w:rsidR="008C058B">
        <w:t>nt les titres pa</w:t>
      </w:r>
      <w:r w:rsidR="00E96FD4">
        <w:t>rticipatifs</w:t>
      </w:r>
      <w:r w:rsidR="00702E09">
        <w:t xml:space="preserve"> (« Genussscheine »)</w:t>
      </w:r>
      <w:r w:rsidR="0083422F">
        <w:t xml:space="preserve"> rénovés et standardisés</w:t>
      </w:r>
      <w:r w:rsidR="00692FB3">
        <w:t>, pourront cependant</w:t>
      </w:r>
      <w:r w:rsidR="00E7314E">
        <w:t>, en cas de besoins</w:t>
      </w:r>
      <w:r w:rsidR="00692FB3">
        <w:t xml:space="preserve"> urgents</w:t>
      </w:r>
      <w:r w:rsidR="00E7314E">
        <w:t>,</w:t>
      </w:r>
      <w:r>
        <w:t xml:space="preserve"> contribuer à sauvegarder leur indépendance</w:t>
      </w:r>
      <w:r w:rsidR="00C93211">
        <w:t xml:space="preserve"> dans un contexte de concurrence internationale exacerbée</w:t>
      </w:r>
      <w:r>
        <w:t>.</w:t>
      </w:r>
      <w:r w:rsidR="00A45345">
        <w:t xml:space="preserve"> Aux secteurs prioritaires </w:t>
      </w:r>
      <w:r w:rsidR="00812622">
        <w:t>(aéronautique, automobile,</w:t>
      </w:r>
      <w:r w:rsidR="00660B24">
        <w:t xml:space="preserve"> </w:t>
      </w:r>
      <w:r w:rsidR="0020710E">
        <w:t xml:space="preserve">défense, </w:t>
      </w:r>
      <w:r w:rsidR="00660B24">
        <w:t>édition, presse,</w:t>
      </w:r>
      <w:r w:rsidR="00812622">
        <w:t xml:space="preserve"> tourisme, transports</w:t>
      </w:r>
      <w:r w:rsidR="002B6EF4">
        <w:t xml:space="preserve"> </w:t>
      </w:r>
      <w:r w:rsidR="00812622">
        <w:t>aériens,</w:t>
      </w:r>
      <w:r w:rsidR="002B6EF4">
        <w:t xml:space="preserve"> </w:t>
      </w:r>
      <w:r w:rsidR="00812622">
        <w:t xml:space="preserve">…) s’ajouteront sans doute </w:t>
      </w:r>
      <w:r w:rsidR="00660B24">
        <w:t xml:space="preserve">rapidement </w:t>
      </w:r>
      <w:r w:rsidR="00812622">
        <w:t>d’autres domaines « stratégiques » fragilisés</w:t>
      </w:r>
      <w:r w:rsidR="00E96FD4">
        <w:t xml:space="preserve"> durablement </w:t>
      </w:r>
      <w:r w:rsidR="00812622">
        <w:t>par la crise</w:t>
      </w:r>
      <w:r w:rsidR="00E96FD4">
        <w:t xml:space="preserve"> sanitaire</w:t>
      </w:r>
      <w:r w:rsidR="00702E09">
        <w:t xml:space="preserve"> survenue depuis mars 2020 en Europe.</w:t>
      </w:r>
      <w:r w:rsidR="008C058B">
        <w:t xml:space="preserve"> Les soutiens </w:t>
      </w:r>
      <w:r w:rsidR="00EE6205">
        <w:t xml:space="preserve">conditionnels </w:t>
      </w:r>
      <w:r w:rsidR="008C058B">
        <w:t>de l’Allemagne à Lufthansa (9 milliards € sous forme de prêt et de par</w:t>
      </w:r>
      <w:r w:rsidR="006765DD">
        <w:t>ticipation « silencieuse » dans la limite de</w:t>
      </w:r>
      <w:r w:rsidR="008C058B">
        <w:t xml:space="preserve"> 20% du capital) et de la France à Air France (7milliards € de prêts et de subvention) </w:t>
      </w:r>
      <w:r w:rsidR="002D4B0E">
        <w:t>constituent de claires</w:t>
      </w:r>
      <w:r w:rsidR="008C058B">
        <w:t xml:space="preserve"> illustrations</w:t>
      </w:r>
      <w:r w:rsidR="00784B1D">
        <w:t>, parmi d’autres,</w:t>
      </w:r>
      <w:r w:rsidR="008C058B">
        <w:t xml:space="preserve"> de cette </w:t>
      </w:r>
      <w:r w:rsidR="008C058B">
        <w:lastRenderedPageBreak/>
        <w:t xml:space="preserve">démarche </w:t>
      </w:r>
      <w:r w:rsidR="00BF3239">
        <w:t xml:space="preserve">volontariste </w:t>
      </w:r>
      <w:r w:rsidR="00186426">
        <w:t xml:space="preserve">des Etats </w:t>
      </w:r>
      <w:r w:rsidR="008C058B">
        <w:t>en</w:t>
      </w:r>
      <w:r w:rsidR="002D4B0E">
        <w:t xml:space="preserve"> faveur de leurs </w:t>
      </w:r>
      <w:r w:rsidR="008C058B">
        <w:t>grandes entreprises</w:t>
      </w:r>
      <w:r w:rsidR="002D4B0E">
        <w:t xml:space="preserve"> nationales</w:t>
      </w:r>
      <w:r w:rsidR="008C058B">
        <w:t>.</w:t>
      </w:r>
      <w:r w:rsidR="00A02DAB">
        <w:t xml:space="preserve"> Si les mesures de soutien permettent la survie de ce type d’activités, il est à craindre que les conditionnalités visant le maintien de l’emploi se heurte</w:t>
      </w:r>
      <w:r w:rsidR="0023033A">
        <w:t>ro</w:t>
      </w:r>
      <w:r w:rsidR="00A02DAB">
        <w:t>nt</w:t>
      </w:r>
      <w:r w:rsidR="0020710E">
        <w:t>, dans la plupart des cas,</w:t>
      </w:r>
      <w:r w:rsidR="00A02DAB">
        <w:t xml:space="preserve"> à des impossibilités économiques</w:t>
      </w:r>
      <w:r w:rsidR="0023033A">
        <w:t xml:space="preserve"> et concurrentielles</w:t>
      </w:r>
      <w:r w:rsidR="00A02DAB">
        <w:t>.</w:t>
      </w:r>
    </w:p>
    <w:p w14:paraId="079851B1" w14:textId="77777777" w:rsidR="008B78E8" w:rsidRDefault="008B78E8" w:rsidP="008B78E8">
      <w:pPr>
        <w:pStyle w:val="Paragraphedeliste"/>
        <w:jc w:val="both"/>
      </w:pPr>
    </w:p>
    <w:p w14:paraId="4FDF2A58" w14:textId="77777777" w:rsidR="0023033A" w:rsidRDefault="00CB23BF" w:rsidP="00E82199">
      <w:pPr>
        <w:pStyle w:val="Paragraphedeliste"/>
        <w:numPr>
          <w:ilvl w:val="0"/>
          <w:numId w:val="2"/>
        </w:numPr>
        <w:jc w:val="both"/>
      </w:pPr>
      <w:r>
        <w:t xml:space="preserve">Les </w:t>
      </w:r>
      <w:r w:rsidR="00702E09">
        <w:t>« </w:t>
      </w:r>
      <w:r>
        <w:t>start-ups</w:t>
      </w:r>
      <w:r w:rsidR="00702E09">
        <w:t> »</w:t>
      </w:r>
      <w:r>
        <w:t xml:space="preserve"> prometteuses ne devraient pas souffrir de défauts de financements du fait des </w:t>
      </w:r>
      <w:r w:rsidR="00C93211">
        <w:t xml:space="preserve">importants </w:t>
      </w:r>
      <w:r>
        <w:t xml:space="preserve">capitaux levés </w:t>
      </w:r>
      <w:r w:rsidR="00C80A11">
        <w:t xml:space="preserve">récemment </w:t>
      </w:r>
      <w:r>
        <w:t>par le</w:t>
      </w:r>
      <w:r w:rsidR="00C80A11">
        <w:t>s différentes structures de</w:t>
      </w:r>
      <w:r>
        <w:t xml:space="preserve"> cap</w:t>
      </w:r>
      <w:r w:rsidR="00692FB3">
        <w:t>ital-risque</w:t>
      </w:r>
      <w:r w:rsidR="008C058B">
        <w:t xml:space="preserve"> et capital-</w:t>
      </w:r>
      <w:r w:rsidR="00702E09">
        <w:t>développement</w:t>
      </w:r>
      <w:r w:rsidR="0083422F">
        <w:t xml:space="preserve"> qui disposent de liquidités importantes</w:t>
      </w:r>
      <w:r w:rsidR="00A45345">
        <w:t xml:space="preserve"> non encore investies</w:t>
      </w:r>
      <w:r w:rsidR="00692FB3">
        <w:t xml:space="preserve">. </w:t>
      </w:r>
      <w:r w:rsidR="002D4B0E">
        <w:t>Les fonds de cap</w:t>
      </w:r>
      <w:r w:rsidR="00BF3239">
        <w:t>ital-risque ont collecté 2,7</w:t>
      </w:r>
      <w:r w:rsidR="00183284">
        <w:t xml:space="preserve"> </w:t>
      </w:r>
      <w:r w:rsidR="00BF3239">
        <w:t>milliards € en France et 2 milliards € en Allemagne au cours du premier semestre 2020</w:t>
      </w:r>
      <w:r w:rsidR="002D4B0E">
        <w:t xml:space="preserve">. </w:t>
      </w:r>
      <w:r w:rsidR="00F80366">
        <w:t xml:space="preserve">On s’achemine en France sur une lévée totale supèrieure à 5 milliards€ pour 2020. </w:t>
      </w:r>
      <w:r w:rsidR="00692FB3">
        <w:t xml:space="preserve">Les incubateurs </w:t>
      </w:r>
      <w:r w:rsidR="0083422F">
        <w:t>spécialisés</w:t>
      </w:r>
      <w:r>
        <w:t xml:space="preserve"> jouent </w:t>
      </w:r>
      <w:r w:rsidR="00702E09">
        <w:t>un rôle décisif dans ce domaine</w:t>
      </w:r>
      <w:r w:rsidR="006765DD">
        <w:t>, confirmé par de brillants</w:t>
      </w:r>
      <w:r w:rsidR="008769F9">
        <w:t xml:space="preserve"> « track record</w:t>
      </w:r>
      <w:r w:rsidR="00522692">
        <w:t>s</w:t>
      </w:r>
      <w:r w:rsidR="008769F9">
        <w:t> »</w:t>
      </w:r>
      <w:r>
        <w:t xml:space="preserve"> </w:t>
      </w:r>
      <w:r w:rsidR="0083422F">
        <w:t>au cours des</w:t>
      </w:r>
      <w:r w:rsidR="00C93211">
        <w:t xml:space="preserve"> premières étapes d</w:t>
      </w:r>
      <w:r>
        <w:t>éveloppement</w:t>
      </w:r>
      <w:r w:rsidR="00C80A11">
        <w:t xml:space="preserve"> de projets innovants</w:t>
      </w:r>
      <w:r>
        <w:t>.</w:t>
      </w:r>
      <w:r w:rsidR="0000278F">
        <w:t xml:space="preserve"> </w:t>
      </w:r>
      <w:r w:rsidR="00183323">
        <w:t xml:space="preserve">Les créations </w:t>
      </w:r>
      <w:r w:rsidR="008B43D7">
        <w:t xml:space="preserve">nettes </w:t>
      </w:r>
      <w:r w:rsidR="00183323">
        <w:t>d’emplois espérés</w:t>
      </w:r>
      <w:r w:rsidR="008B43D7">
        <w:t xml:space="preserve"> en France du fait des financements de capital-risque</w:t>
      </w:r>
      <w:r w:rsidR="00183323">
        <w:t xml:space="preserve"> s’élèvent </w:t>
      </w:r>
      <w:r w:rsidR="008B43D7">
        <w:t xml:space="preserve">au mieux </w:t>
      </w:r>
      <w:r w:rsidR="00183323">
        <w:t xml:space="preserve">à 25.000 </w:t>
      </w:r>
      <w:r w:rsidR="008B43D7">
        <w:t xml:space="preserve">postes </w:t>
      </w:r>
      <w:r w:rsidR="00183323">
        <w:t xml:space="preserve">environ, chiffre </w:t>
      </w:r>
      <w:r w:rsidR="003E0A4D">
        <w:t xml:space="preserve">bien </w:t>
      </w:r>
      <w:r w:rsidR="00183323">
        <w:t>modeste au regard des besoins</w:t>
      </w:r>
      <w:r w:rsidR="008B43D7">
        <w:t xml:space="preserve"> à satisfaire en particulier pour recruter les jeunes professionnels</w:t>
      </w:r>
      <w:r w:rsidR="00183323">
        <w:t>.</w:t>
      </w:r>
      <w:r w:rsidR="00023AD8">
        <w:t xml:space="preserve"> </w:t>
      </w:r>
      <w:r w:rsidR="0020710E">
        <w:t xml:space="preserve">L’ambitieux programme de la BPI (« deeptech ») vise à dépasser le stage de l’amorçage et pourrait contribuer à pérenniser les recrutements. </w:t>
      </w:r>
      <w:r w:rsidR="00F80366">
        <w:t>Le gouvernement souhaite valoriser les meilleures réussites en les classant dans les listes</w:t>
      </w:r>
      <w:r w:rsidR="0023033A">
        <w:t xml:space="preserve"> supposées attirer les investisseurs :</w:t>
      </w:r>
      <w:r w:rsidR="00F80366">
        <w:t xml:space="preserve"> « next40 » et « frenchtech120 ».</w:t>
      </w:r>
      <w:r w:rsidR="0023033A">
        <w:t xml:space="preserve"> </w:t>
      </w:r>
    </w:p>
    <w:p w14:paraId="71A60A72" w14:textId="7B8C4926" w:rsidR="00CB23BF" w:rsidRDefault="0000278F" w:rsidP="0023033A">
      <w:pPr>
        <w:pStyle w:val="Paragraphedeliste"/>
        <w:jc w:val="both"/>
      </w:pPr>
      <w:r>
        <w:t>L</w:t>
      </w:r>
      <w:r w:rsidR="00C93211">
        <w:t>es</w:t>
      </w:r>
      <w:r w:rsidR="003E0A4D">
        <w:t xml:space="preserve"> </w:t>
      </w:r>
      <w:r w:rsidR="00023AD8">
        <w:t xml:space="preserve">offres </w:t>
      </w:r>
      <w:r w:rsidR="00F80366">
        <w:t xml:space="preserve">potentielles </w:t>
      </w:r>
      <w:r w:rsidR="00023AD8">
        <w:t xml:space="preserve">de </w:t>
      </w:r>
      <w:r w:rsidR="00D51DA6">
        <w:t>rach</w:t>
      </w:r>
      <w:r w:rsidR="00813A98">
        <w:t xml:space="preserve">ats </w:t>
      </w:r>
      <w:r>
        <w:t xml:space="preserve">à prix élevés par les </w:t>
      </w:r>
      <w:r w:rsidR="00946E3A">
        <w:t>« </w:t>
      </w:r>
      <w:r>
        <w:t>GAFAM</w:t>
      </w:r>
      <w:r w:rsidR="00946E3A">
        <w:t> »</w:t>
      </w:r>
      <w:r w:rsidR="00620697">
        <w:t xml:space="preserve"> (Google</w:t>
      </w:r>
      <w:r w:rsidR="00FD7D9B">
        <w:t>/Alphabet-Apple-</w:t>
      </w:r>
      <w:r w:rsidR="00620697">
        <w:t>Facebook-Amazon</w:t>
      </w:r>
      <w:r w:rsidR="00FD7D9B">
        <w:t>-Microsoft</w:t>
      </w:r>
      <w:r w:rsidR="00620697">
        <w:t>)</w:t>
      </w:r>
      <w:r>
        <w:t xml:space="preserve"> entrainent</w:t>
      </w:r>
      <w:r w:rsidR="0023033A">
        <w:t xml:space="preserve"> parailleurs</w:t>
      </w:r>
      <w:r w:rsidR="00702E09">
        <w:t xml:space="preserve"> </w:t>
      </w:r>
      <w:r>
        <w:t>d</w:t>
      </w:r>
      <w:r w:rsidR="00813A98">
        <w:t xml:space="preserve">es risques </w:t>
      </w:r>
      <w:r>
        <w:t xml:space="preserve">spécifiques </w:t>
      </w:r>
      <w:r w:rsidR="006A2C86">
        <w:t xml:space="preserve">de délocalisations </w:t>
      </w:r>
      <w:r>
        <w:t xml:space="preserve">des </w:t>
      </w:r>
      <w:r w:rsidR="006A2C86">
        <w:t>technologies « disruptives »</w:t>
      </w:r>
      <w:r w:rsidR="002D4B0E">
        <w:t xml:space="preserve"> et des </w:t>
      </w:r>
      <w:r>
        <w:t>cerveaux</w:t>
      </w:r>
      <w:r w:rsidR="002D4B0E">
        <w:t xml:space="preserve"> performants, </w:t>
      </w:r>
      <w:r>
        <w:t>…</w:t>
      </w:r>
      <w:r w:rsidR="007D33DB">
        <w:t xml:space="preserve"> </w:t>
      </w:r>
      <w:r w:rsidR="006A2C86">
        <w:t>transferts qui</w:t>
      </w:r>
      <w:r>
        <w:t xml:space="preserve"> pourraient s’accélérer à l’issue de la crise</w:t>
      </w:r>
      <w:r w:rsidR="00BF3239">
        <w:t xml:space="preserve"> sanitaire</w:t>
      </w:r>
      <w:r>
        <w:t>. L</w:t>
      </w:r>
      <w:r w:rsidR="00D51DA6">
        <w:t>es</w:t>
      </w:r>
      <w:r w:rsidR="00E96FD4">
        <w:t xml:space="preserve"> t</w:t>
      </w:r>
      <w:r w:rsidR="00813A98">
        <w:t xml:space="preserve">itres </w:t>
      </w:r>
      <w:r w:rsidR="00E96FD4">
        <w:t>p</w:t>
      </w:r>
      <w:r w:rsidR="00813A98">
        <w:t>articipatifs</w:t>
      </w:r>
      <w:r w:rsidR="00522692">
        <w:t>, hybrides ou subordonnés</w:t>
      </w:r>
      <w:r>
        <w:t>,</w:t>
      </w:r>
      <w:r w:rsidR="00C93211">
        <w:t xml:space="preserve"> ne leur s</w:t>
      </w:r>
      <w:r w:rsidR="0083422F">
        <w:t>eraien</w:t>
      </w:r>
      <w:r w:rsidR="00C93211">
        <w:t>t</w:t>
      </w:r>
      <w:r w:rsidR="00660B24">
        <w:t xml:space="preserve">, </w:t>
      </w:r>
      <w:r w:rsidR="008B43D7">
        <w:t>vraisemblablement,</w:t>
      </w:r>
      <w:r w:rsidR="00660B24">
        <w:t xml:space="preserve"> </w:t>
      </w:r>
      <w:r w:rsidR="00692FB3">
        <w:t>de peu de secours, sauf cas particulier</w:t>
      </w:r>
      <w:r w:rsidR="008769F9">
        <w:t>s</w:t>
      </w:r>
      <w:r w:rsidR="0083422F">
        <w:t xml:space="preserve"> </w:t>
      </w:r>
      <w:r w:rsidR="008769F9">
        <w:t xml:space="preserve">et accidentels d’échecs </w:t>
      </w:r>
      <w:r w:rsidR="00813A98">
        <w:t xml:space="preserve">patents </w:t>
      </w:r>
      <w:r w:rsidR="008769F9">
        <w:t xml:space="preserve">dus à des </w:t>
      </w:r>
      <w:r w:rsidR="0083422F">
        <w:t>financement</w:t>
      </w:r>
      <w:r w:rsidR="00813A98">
        <w:t>s</w:t>
      </w:r>
      <w:r w:rsidR="0083422F">
        <w:t xml:space="preserve"> </w:t>
      </w:r>
      <w:r w:rsidR="008769F9">
        <w:t>mal calibrés</w:t>
      </w:r>
      <w:r w:rsidR="007D33DB">
        <w:t xml:space="preserve"> ou trop ambitieu</w:t>
      </w:r>
      <w:r w:rsidR="00702E09">
        <w:t>x à court terme</w:t>
      </w:r>
      <w:r w:rsidR="008769F9">
        <w:t xml:space="preserve"> </w:t>
      </w:r>
      <w:r w:rsidR="0083422F">
        <w:t xml:space="preserve">après </w:t>
      </w:r>
      <w:r w:rsidR="00702E09">
        <w:t>mise en œuvre des techniques de</w:t>
      </w:r>
      <w:r w:rsidR="00496B78">
        <w:t xml:space="preserve"> type </w:t>
      </w:r>
      <w:r w:rsidR="00183284">
        <w:t>« </w:t>
      </w:r>
      <w:r w:rsidR="00812622">
        <w:t>MBO/</w:t>
      </w:r>
      <w:r w:rsidR="00813A98">
        <w:t>LBO</w:t>
      </w:r>
      <w:r w:rsidR="00183284">
        <w:t> »</w:t>
      </w:r>
      <w:r w:rsidR="008C058B">
        <w:t xml:space="preserve"> (</w:t>
      </w:r>
      <w:r w:rsidR="00B11356">
        <w:t>« </w:t>
      </w:r>
      <w:r w:rsidR="008C058B">
        <w:t>Management Buy-Out</w:t>
      </w:r>
      <w:r w:rsidR="00B11356">
        <w:t> »</w:t>
      </w:r>
      <w:r w:rsidR="002B6EF4">
        <w:t xml:space="preserve"> </w:t>
      </w:r>
      <w:r w:rsidR="008C058B">
        <w:t>/</w:t>
      </w:r>
      <w:r w:rsidR="002B6EF4">
        <w:t xml:space="preserve"> </w:t>
      </w:r>
      <w:r w:rsidR="00B11356">
        <w:t>« </w:t>
      </w:r>
      <w:r w:rsidR="008C058B">
        <w:t>Leveraged</w:t>
      </w:r>
      <w:r w:rsidR="00883E85">
        <w:t xml:space="preserve"> </w:t>
      </w:r>
      <w:r w:rsidR="008C058B">
        <w:t>Buy-Out</w:t>
      </w:r>
      <w:r w:rsidR="00B11356">
        <w:t> »</w:t>
      </w:r>
      <w:r w:rsidR="008C058B">
        <w:t>)</w:t>
      </w:r>
      <w:r w:rsidR="00813A98">
        <w:t xml:space="preserve"> notamment</w:t>
      </w:r>
      <w:r w:rsidR="00C93211">
        <w:t>.</w:t>
      </w:r>
      <w:r w:rsidR="00B03301">
        <w:t xml:space="preserve"> </w:t>
      </w:r>
      <w:r w:rsidR="005228DA">
        <w:t>Des sol</w:t>
      </w:r>
      <w:r w:rsidR="00B03301">
        <w:t>utions alternatives devraient ê</w:t>
      </w:r>
      <w:r w:rsidR="005228DA">
        <w:t>t</w:t>
      </w:r>
      <w:r w:rsidR="00B03301">
        <w:t>r</w:t>
      </w:r>
      <w:r w:rsidR="005228DA">
        <w:t>e</w:t>
      </w:r>
      <w:r w:rsidR="008B43D7">
        <w:t xml:space="preserve"> nécessairement </w:t>
      </w:r>
      <w:r w:rsidR="005228DA">
        <w:t xml:space="preserve">recherchées pour tempérer les exigences de rendement des sociétés de capital-risque à </w:t>
      </w:r>
      <w:r w:rsidR="003E0A4D">
        <w:t>court</w:t>
      </w:r>
      <w:r w:rsidR="005228DA">
        <w:t xml:space="preserve"> </w:t>
      </w:r>
      <w:r w:rsidR="008B43D7">
        <w:t xml:space="preserve">et moyen </w:t>
      </w:r>
      <w:r w:rsidR="005228DA">
        <w:t>terme (généralement de l’ordre de</w:t>
      </w:r>
      <w:r w:rsidR="004929DE">
        <w:t xml:space="preserve"> 10 à</w:t>
      </w:r>
      <w:r w:rsidR="005228DA">
        <w:t xml:space="preserve"> 12%</w:t>
      </w:r>
      <w:r w:rsidR="0020710E">
        <w:t xml:space="preserve"> sur un horizon de 7 à 10 ans)</w:t>
      </w:r>
      <w:r w:rsidR="005228DA">
        <w:t>.</w:t>
      </w:r>
      <w:r w:rsidR="00522692">
        <w:t xml:space="preserve"> Les conséquences de la crise sanitaire sur les </w:t>
      </w:r>
      <w:r w:rsidR="00702E09">
        <w:t>« </w:t>
      </w:r>
      <w:r w:rsidR="00522692">
        <w:t>sta</w:t>
      </w:r>
      <w:r>
        <w:t>rt-ups</w:t>
      </w:r>
      <w:r w:rsidR="00702E09">
        <w:t> »</w:t>
      </w:r>
      <w:r w:rsidR="008C058B">
        <w:t xml:space="preserve"> sont</w:t>
      </w:r>
      <w:r>
        <w:t xml:space="preserve"> </w:t>
      </w:r>
      <w:r w:rsidR="008B43D7">
        <w:t>d’abord</w:t>
      </w:r>
      <w:r w:rsidR="005228DA">
        <w:t xml:space="preserve"> </w:t>
      </w:r>
      <w:r>
        <w:t>à prendre en compte</w:t>
      </w:r>
      <w:r w:rsidR="00522692">
        <w:t xml:space="preserve"> en </w:t>
      </w:r>
      <w:r>
        <w:t xml:space="preserve">fonction de la préservation des brevets et autres protections intellectuelles des innovations </w:t>
      </w:r>
      <w:r w:rsidR="00E96FD4">
        <w:t xml:space="preserve">les plus </w:t>
      </w:r>
      <w:r>
        <w:t>prometteuses</w:t>
      </w:r>
      <w:r w:rsidR="0020710E">
        <w:t xml:space="preserve"> comme celles qui émergeront des applications de l’intelligence artificielle</w:t>
      </w:r>
      <w:r w:rsidR="00522692">
        <w:t>.</w:t>
      </w:r>
      <w:r w:rsidR="00702E09">
        <w:t xml:space="preserve"> Une vigilance accrue, telle que l’appelle de ses vœux</w:t>
      </w:r>
      <w:r w:rsidR="00921751">
        <w:t xml:space="preserve"> répétés</w:t>
      </w:r>
      <w:r w:rsidR="00702E09">
        <w:t xml:space="preserve"> le commissa</w:t>
      </w:r>
      <w:r w:rsidR="00B03301">
        <w:t>ire européen</w:t>
      </w:r>
      <w:r w:rsidR="00FD7D9B">
        <w:t xml:space="preserve"> au marché intérieur</w:t>
      </w:r>
      <w:r w:rsidR="004621FE">
        <w:t xml:space="preserve"> depuis 2019,</w:t>
      </w:r>
      <w:r w:rsidR="002D4B0E">
        <w:t xml:space="preserve"> Thierry Breton, s’impose</w:t>
      </w:r>
      <w:r w:rsidR="00702E09">
        <w:t xml:space="preserve"> pendant cette période de grande vulnérabilité</w:t>
      </w:r>
      <w:r w:rsidR="009900AA">
        <w:t xml:space="preserve"> économique,</w:t>
      </w:r>
      <w:r w:rsidR="007D33DB">
        <w:t xml:space="preserve"> financière</w:t>
      </w:r>
      <w:r w:rsidR="009900AA">
        <w:t xml:space="preserve"> et sociale</w:t>
      </w:r>
      <w:r w:rsidR="00702E09">
        <w:t>.</w:t>
      </w:r>
    </w:p>
    <w:p w14:paraId="24A6AD92" w14:textId="77777777" w:rsidR="008B78E8" w:rsidRDefault="008B78E8" w:rsidP="008B78E8">
      <w:pPr>
        <w:pStyle w:val="Paragraphedeliste"/>
        <w:jc w:val="both"/>
      </w:pPr>
    </w:p>
    <w:p w14:paraId="09EBB226" w14:textId="530DCC43" w:rsidR="00CB23BF" w:rsidRDefault="00CB23BF" w:rsidP="00E82199">
      <w:pPr>
        <w:pStyle w:val="Paragraphedeliste"/>
        <w:numPr>
          <w:ilvl w:val="0"/>
          <w:numId w:val="2"/>
        </w:numPr>
        <w:jc w:val="both"/>
      </w:pPr>
      <w:r>
        <w:t xml:space="preserve">Les </w:t>
      </w:r>
      <w:r w:rsidR="00B11356">
        <w:t>« </w:t>
      </w:r>
      <w:r>
        <w:t>TPE</w:t>
      </w:r>
      <w:r w:rsidR="00B11356">
        <w:t> »</w:t>
      </w:r>
      <w:r w:rsidR="004621FE">
        <w:t xml:space="preserve"> </w:t>
      </w:r>
      <w:r w:rsidR="008C058B">
        <w:t>(</w:t>
      </w:r>
      <w:r w:rsidR="00B11356">
        <w:t>« </w:t>
      </w:r>
      <w:r w:rsidR="008C058B">
        <w:t>Très Petites Entreprises</w:t>
      </w:r>
      <w:r w:rsidR="00B11356">
        <w:t> »</w:t>
      </w:r>
      <w:r w:rsidR="008C058B">
        <w:t>)</w:t>
      </w:r>
      <w:r>
        <w:t>, considérablement fragilisés par</w:t>
      </w:r>
      <w:r w:rsidR="00C93211">
        <w:t xml:space="preserve"> des décisions administratives liées </w:t>
      </w:r>
      <w:r w:rsidR="00702E09">
        <w:t>à la crise sanitaire, peuvent</w:t>
      </w:r>
      <w:r w:rsidR="00A45345">
        <w:t>,</w:t>
      </w:r>
      <w:r w:rsidR="00C93211">
        <w:t xml:space="preserve"> à juste titre</w:t>
      </w:r>
      <w:r w:rsidR="00A45345">
        <w:t>,</w:t>
      </w:r>
      <w:r w:rsidR="00C93211">
        <w:t xml:space="preserve"> </w:t>
      </w:r>
      <w:r w:rsidR="008C058B">
        <w:t xml:space="preserve">bénéficier d’un soutien d’Etat </w:t>
      </w:r>
      <w:r w:rsidR="00702E09">
        <w:t xml:space="preserve">de type </w:t>
      </w:r>
      <w:r w:rsidR="00C93211">
        <w:t>PGE</w:t>
      </w:r>
      <w:r w:rsidR="008C058B">
        <w:t xml:space="preserve"> (Prêt Garanti par l’Etat)</w:t>
      </w:r>
      <w:r w:rsidR="00702E09">
        <w:t xml:space="preserve"> en France</w:t>
      </w:r>
      <w:r w:rsidR="00C93211">
        <w:t xml:space="preserve"> dans</w:t>
      </w:r>
      <w:r w:rsidR="00702E09">
        <w:t xml:space="preserve"> un souci de solidarité sociale</w:t>
      </w:r>
      <w:r w:rsidR="00522692">
        <w:t> ;</w:t>
      </w:r>
      <w:r w:rsidR="00FB298F">
        <w:t xml:space="preserve"> </w:t>
      </w:r>
      <w:r w:rsidR="00660B24">
        <w:t>de prestigieux opérateurs culturels</w:t>
      </w:r>
      <w:r w:rsidR="00702E09">
        <w:t xml:space="preserve"> </w:t>
      </w:r>
      <w:r w:rsidR="00522692">
        <w:t>(opéra, théâtres,</w:t>
      </w:r>
      <w:r w:rsidR="00FD7D9B">
        <w:t xml:space="preserve"> </w:t>
      </w:r>
      <w:r w:rsidR="00BF3239">
        <w:t>musées</w:t>
      </w:r>
      <w:r w:rsidR="00E47E37">
        <w:t>, festivals</w:t>
      </w:r>
      <w:r w:rsidR="00385452">
        <w:t>,</w:t>
      </w:r>
      <w:r w:rsidR="003E0A4D">
        <w:t xml:space="preserve"> associations</w:t>
      </w:r>
      <w:r w:rsidR="00784B1D">
        <w:t>,</w:t>
      </w:r>
      <w:r w:rsidR="00385452">
        <w:t xml:space="preserve"> </w:t>
      </w:r>
      <w:r w:rsidR="00522692">
        <w:t>…</w:t>
      </w:r>
      <w:r w:rsidR="0020710E">
        <w:t xml:space="preserve"> restaurants</w:t>
      </w:r>
      <w:r w:rsidR="00522692">
        <w:t xml:space="preserve">) pourraient être également concernés par cet effort </w:t>
      </w:r>
      <w:r w:rsidR="00702E09">
        <w:t>légitime de soutien</w:t>
      </w:r>
      <w:r w:rsidR="008C058B">
        <w:t xml:space="preserve"> public</w:t>
      </w:r>
      <w:r w:rsidR="00C93211">
        <w:t>.</w:t>
      </w:r>
      <w:r w:rsidR="00692FB3">
        <w:t xml:space="preserve"> Leur</w:t>
      </w:r>
      <w:r w:rsidR="00522692">
        <w:t xml:space="preserve"> survie dépend effectivement l</w:t>
      </w:r>
      <w:r w:rsidR="008C058B">
        <w:t>a mobilisation de moyens financiers</w:t>
      </w:r>
      <w:r w:rsidR="002F10D6">
        <w:t xml:space="preserve"> qui n’entr</w:t>
      </w:r>
      <w:r w:rsidR="002D4B0E">
        <w:t>e pas dans le cadre de cette réflexion</w:t>
      </w:r>
      <w:r w:rsidR="00692FB3">
        <w:t>.</w:t>
      </w:r>
      <w:r w:rsidR="00522692">
        <w:t xml:space="preserve"> Ces structures</w:t>
      </w:r>
      <w:r w:rsidR="0083422F">
        <w:t xml:space="preserve"> ont </w:t>
      </w:r>
      <w:r w:rsidR="004621FE">
        <w:t>d’ailleurs</w:t>
      </w:r>
      <w:r w:rsidR="0083422F">
        <w:t xml:space="preserve"> bénéficié de mesures d’accompagnement</w:t>
      </w:r>
      <w:r w:rsidR="008769F9">
        <w:t>s</w:t>
      </w:r>
      <w:r w:rsidR="0083422F">
        <w:t xml:space="preserve"> substantiels</w:t>
      </w:r>
      <w:r w:rsidR="00023AD8">
        <w:t xml:space="preserve"> </w:t>
      </w:r>
      <w:r w:rsidR="0083422F">
        <w:t xml:space="preserve">qui devront sans </w:t>
      </w:r>
      <w:r w:rsidR="00E96FD4">
        <w:t xml:space="preserve">aucun </w:t>
      </w:r>
      <w:r w:rsidR="0083422F">
        <w:t>doute être prolongées pour éviter les faillites</w:t>
      </w:r>
      <w:r w:rsidR="00813A98">
        <w:t xml:space="preserve"> inévitables,</w:t>
      </w:r>
      <w:r w:rsidR="00A45345">
        <w:t xml:space="preserve"> sauver les </w:t>
      </w:r>
      <w:r w:rsidR="00812622">
        <w:t>emploi</w:t>
      </w:r>
      <w:r w:rsidR="00A45345">
        <w:t>s</w:t>
      </w:r>
      <w:r w:rsidR="00812622">
        <w:t xml:space="preserve"> correspondant</w:t>
      </w:r>
      <w:r w:rsidR="00A45345">
        <w:t>s</w:t>
      </w:r>
      <w:r w:rsidR="00FB298F">
        <w:t xml:space="preserve"> et maintenir le</w:t>
      </w:r>
      <w:r w:rsidR="00E96FD4">
        <w:t>s</w:t>
      </w:r>
      <w:r w:rsidR="00FB298F">
        <w:t xml:space="preserve"> « savoir-</w:t>
      </w:r>
      <w:r w:rsidR="00702E09">
        <w:t>faire</w:t>
      </w:r>
      <w:r w:rsidR="00B11356">
        <w:t>s</w:t>
      </w:r>
      <w:r w:rsidR="00702E09">
        <w:t xml:space="preserve"> » </w:t>
      </w:r>
      <w:r w:rsidR="00813A98">
        <w:t>à haute valeur ajoutée</w:t>
      </w:r>
      <w:r w:rsidR="00B930FE">
        <w:t>,</w:t>
      </w:r>
      <w:r w:rsidR="00702E09">
        <w:t xml:space="preserve"> de part et d’autre du Rhin</w:t>
      </w:r>
      <w:r w:rsidR="0083422F">
        <w:t>.</w:t>
      </w:r>
      <w:r w:rsidR="008B78E8">
        <w:t xml:space="preserve"> </w:t>
      </w:r>
      <w:r w:rsidR="0020710E">
        <w:t xml:space="preserve">Les actions prédatrices de la « shadow economy » sur certains fleurons culturels ne sont pas à exclure dans un contexte durablement dépressif. </w:t>
      </w:r>
      <w:r w:rsidR="008B78E8">
        <w:t xml:space="preserve">Les subventions provenant des fonds de solidarité de juillet et </w:t>
      </w:r>
      <w:r w:rsidR="008B78E8">
        <w:lastRenderedPageBreak/>
        <w:t>octobre 2020 devraient contribuer à renflouer, au moins provisoirement, les secteurs les plus impactés par la crise</w:t>
      </w:r>
      <w:r w:rsidR="00FF39C3">
        <w:t xml:space="preserve"> dont personne ne se risque </w:t>
      </w:r>
      <w:r w:rsidR="0020710E">
        <w:t xml:space="preserve">plus </w:t>
      </w:r>
      <w:r w:rsidR="00FF39C3">
        <w:t>à estimer la durée</w:t>
      </w:r>
      <w:r w:rsidR="008B78E8">
        <w:t>.</w:t>
      </w:r>
      <w:r w:rsidR="00A02DAB">
        <w:t xml:space="preserve"> Les dispositifs mis en place visent au maintien des revenus mais ne sauraient garantir la pérennité des emplois.</w:t>
      </w:r>
    </w:p>
    <w:p w14:paraId="1AC761B0" w14:textId="77777777" w:rsidR="008B78E8" w:rsidRDefault="008B78E8" w:rsidP="008B78E8">
      <w:pPr>
        <w:pStyle w:val="Paragraphedeliste"/>
      </w:pPr>
    </w:p>
    <w:p w14:paraId="43E3F1FD" w14:textId="77777777" w:rsidR="008B78E8" w:rsidRDefault="008B78E8" w:rsidP="008B78E8">
      <w:pPr>
        <w:pStyle w:val="Paragraphedeliste"/>
        <w:jc w:val="both"/>
      </w:pPr>
    </w:p>
    <w:p w14:paraId="353760A8" w14:textId="4D41BF94" w:rsidR="00E83E8D" w:rsidRDefault="00C93211" w:rsidP="00FB298F">
      <w:pPr>
        <w:pStyle w:val="Paragraphedeliste"/>
        <w:numPr>
          <w:ilvl w:val="0"/>
          <w:numId w:val="2"/>
        </w:numPr>
        <w:jc w:val="both"/>
      </w:pPr>
      <w:r>
        <w:t xml:space="preserve">Les </w:t>
      </w:r>
      <w:r w:rsidR="00D34779">
        <w:t>« </w:t>
      </w:r>
      <w:r>
        <w:t>ETI</w:t>
      </w:r>
      <w:r w:rsidR="00D34779">
        <w:t> »</w:t>
      </w:r>
      <w:r>
        <w:t xml:space="preserve"> prometteuses,</w:t>
      </w:r>
      <w:r w:rsidR="007D33DB">
        <w:t xml:space="preserve"> et les fleurons du </w:t>
      </w:r>
      <w:r w:rsidR="00EF1B01">
        <w:t>« </w:t>
      </w:r>
      <w:r w:rsidR="007D33DB">
        <w:t>Mittelstand</w:t>
      </w:r>
      <w:r w:rsidR="00EF1B01">
        <w:t> »</w:t>
      </w:r>
      <w:r>
        <w:t xml:space="preserve"> susceptibles d’être transformées en </w:t>
      </w:r>
      <w:r w:rsidR="00692FB3">
        <w:t>« </w:t>
      </w:r>
      <w:r>
        <w:t>licornes</w:t>
      </w:r>
      <w:r w:rsidR="008A4796">
        <w:t> » (atteignant</w:t>
      </w:r>
      <w:r w:rsidR="00620697">
        <w:t xml:space="preserve"> plus d’un</w:t>
      </w:r>
      <w:r w:rsidR="008C058B">
        <w:t xml:space="preserve"> </w:t>
      </w:r>
      <w:r w:rsidR="00620697">
        <w:t>milliard</w:t>
      </w:r>
      <w:r w:rsidR="008C058B">
        <w:t xml:space="preserve"> €</w:t>
      </w:r>
      <w:r w:rsidR="00186426">
        <w:t xml:space="preserve"> de valorisation</w:t>
      </w:r>
      <w:r w:rsidR="00E96FD4">
        <w:t xml:space="preserve"> potentielle</w:t>
      </w:r>
      <w:r w:rsidR="00692FB3">
        <w:t>)</w:t>
      </w:r>
      <w:r>
        <w:t>, méritent une attention particulière</w:t>
      </w:r>
      <w:r w:rsidR="0083422F">
        <w:t xml:space="preserve"> justifiant</w:t>
      </w:r>
      <w:r w:rsidR="002F10D6">
        <w:t xml:space="preserve"> </w:t>
      </w:r>
      <w:r w:rsidR="00842AB6">
        <w:t>la mise en place urgente de</w:t>
      </w:r>
      <w:r w:rsidR="002F10D6">
        <w:t xml:space="preserve"> solutions innovantes</w:t>
      </w:r>
      <w:r w:rsidR="008769F9">
        <w:t xml:space="preserve"> et pertinentes</w:t>
      </w:r>
      <w:r w:rsidR="00E96FD4">
        <w:t xml:space="preserve"> sur le moyen et long terme</w:t>
      </w:r>
      <w:r w:rsidR="002F10D6">
        <w:t>. Ces entreprises de divers statuts</w:t>
      </w:r>
      <w:r w:rsidR="0083422F">
        <w:t xml:space="preserve"> (notamment familiales)</w:t>
      </w:r>
      <w:r>
        <w:t xml:space="preserve"> constituent le tissu </w:t>
      </w:r>
      <w:r w:rsidR="00692FB3">
        <w:t xml:space="preserve">potentiel </w:t>
      </w:r>
      <w:r>
        <w:t>d</w:t>
      </w:r>
      <w:r w:rsidR="00BA66F8">
        <w:t>’</w:t>
      </w:r>
      <w:r>
        <w:t>u</w:t>
      </w:r>
      <w:r w:rsidR="00BA66F8">
        <w:t>n</w:t>
      </w:r>
      <w:r>
        <w:t xml:space="preserve"> </w:t>
      </w:r>
      <w:r w:rsidR="00BE373D">
        <w:t>« </w:t>
      </w:r>
      <w:r w:rsidR="007D33DB">
        <w:t>Standort</w:t>
      </w:r>
      <w:r w:rsidR="00BE373D">
        <w:t> »</w:t>
      </w:r>
      <w:r w:rsidR="00BA66F8">
        <w:t xml:space="preserve"> prometteur</w:t>
      </w:r>
      <w:r w:rsidR="00B930FE">
        <w:t xml:space="preserve"> de part et d’autre du Rhin</w:t>
      </w:r>
      <w:r w:rsidR="00692FB3">
        <w:t xml:space="preserve">, </w:t>
      </w:r>
      <w:r w:rsidR="00376CA3">
        <w:t>dans le respect</w:t>
      </w:r>
      <w:r w:rsidR="00692FB3">
        <w:t xml:space="preserve"> </w:t>
      </w:r>
      <w:r w:rsidR="00812622">
        <w:t xml:space="preserve">des critères </w:t>
      </w:r>
      <w:r w:rsidR="008A4796">
        <w:t>« </w:t>
      </w:r>
      <w:r w:rsidR="00692FB3">
        <w:t>ESG</w:t>
      </w:r>
      <w:r w:rsidR="008A4796">
        <w:t> »</w:t>
      </w:r>
      <w:r w:rsidR="007D33DB">
        <w:t xml:space="preserve"> (</w:t>
      </w:r>
      <w:r w:rsidR="008A4796">
        <w:t>« </w:t>
      </w:r>
      <w:r w:rsidR="007D33DB">
        <w:t>Environnementaux, Sociaux et de Gouvernance</w:t>
      </w:r>
      <w:r w:rsidR="008A4796">
        <w:t> »</w:t>
      </w:r>
      <w:r w:rsidR="007D33DB">
        <w:t>)</w:t>
      </w:r>
      <w:r w:rsidR="00BA66F8">
        <w:t xml:space="preserve">. Ces </w:t>
      </w:r>
      <w:r w:rsidR="002B6EF4">
        <w:t>normes</w:t>
      </w:r>
      <w:r w:rsidR="0083422F">
        <w:t xml:space="preserve"> reste</w:t>
      </w:r>
      <w:r w:rsidR="00812622">
        <w:t>nt</w:t>
      </w:r>
      <w:r w:rsidR="0083422F">
        <w:t xml:space="preserve"> </w:t>
      </w:r>
      <w:r w:rsidR="00437A4C">
        <w:t>d’</w:t>
      </w:r>
      <w:r w:rsidR="00620697">
        <w:t>ailleurs</w:t>
      </w:r>
      <w:r w:rsidR="002D4B0E">
        <w:t xml:space="preserve"> </w:t>
      </w:r>
      <w:r w:rsidR="002F10D6">
        <w:t xml:space="preserve">à </w:t>
      </w:r>
      <w:r w:rsidR="00812622">
        <w:t>préciser</w:t>
      </w:r>
      <w:r w:rsidR="00813A98">
        <w:t xml:space="preserve"> en fonction de priorités </w:t>
      </w:r>
      <w:r w:rsidR="00E83E8D">
        <w:t xml:space="preserve">à définir </w:t>
      </w:r>
      <w:r w:rsidR="00813A98">
        <w:t xml:space="preserve">clairement </w:t>
      </w:r>
      <w:r w:rsidR="007D33DB">
        <w:t>en Europe</w:t>
      </w:r>
      <w:r w:rsidR="00620697">
        <w:t xml:space="preserve"> </w:t>
      </w:r>
      <w:r w:rsidR="00E83E8D">
        <w:t xml:space="preserve">dans les domaines </w:t>
      </w:r>
      <w:r w:rsidR="00FF39C3">
        <w:t>industriels</w:t>
      </w:r>
      <w:r w:rsidR="00E83E8D">
        <w:t>, climatiques</w:t>
      </w:r>
      <w:r w:rsidR="00784B64">
        <w:t xml:space="preserve"> et</w:t>
      </w:r>
      <w:r w:rsidR="00E83E8D">
        <w:t xml:space="preserve"> énergétiques</w:t>
      </w:r>
      <w:r w:rsidR="00784B64">
        <w:t>,</w:t>
      </w:r>
      <w:r w:rsidR="00E83E8D">
        <w:t xml:space="preserve"> e</w:t>
      </w:r>
      <w:r w:rsidR="00784B64">
        <w:t>n</w:t>
      </w:r>
      <w:r w:rsidR="00C75386">
        <w:t xml:space="preserve">tre </w:t>
      </w:r>
      <w:r w:rsidR="00E83E8D">
        <w:t xml:space="preserve">autres :  </w:t>
      </w:r>
      <w:r w:rsidR="00620697">
        <w:t>e</w:t>
      </w:r>
      <w:r w:rsidR="00E83E8D">
        <w:t xml:space="preserve">lles </w:t>
      </w:r>
      <w:r w:rsidR="00620697">
        <w:t>ne sauraient se réduire à un label de circonstance</w:t>
      </w:r>
      <w:r w:rsidR="00784B64">
        <w:t xml:space="preserve"> </w:t>
      </w:r>
      <w:r w:rsidR="00144E55">
        <w:t>surgi des affres de</w:t>
      </w:r>
      <w:r w:rsidR="00784B64">
        <w:t xml:space="preserve"> la crise sanitaire</w:t>
      </w:r>
      <w:r w:rsidR="00BA66F8">
        <w:t xml:space="preserve">. </w:t>
      </w:r>
      <w:r w:rsidR="00921751">
        <w:t xml:space="preserve">Outre leur </w:t>
      </w:r>
      <w:r w:rsidR="004A138A">
        <w:t>déclinaison spécifique et si possible consensuelle</w:t>
      </w:r>
      <w:r w:rsidR="00921751">
        <w:t xml:space="preserve"> à chaque secteur économique</w:t>
      </w:r>
      <w:r w:rsidR="00841F2C">
        <w:t xml:space="preserve"> (agro-alimentaire,</w:t>
      </w:r>
      <w:r w:rsidR="00FF39C3">
        <w:t xml:space="preserve"> aéronautique, automobile, chimie, énergie, </w:t>
      </w:r>
      <w:r w:rsidR="00E02BC4">
        <w:t>grande distribution, pharmacie,</w:t>
      </w:r>
      <w:r w:rsidR="00531573">
        <w:t xml:space="preserve"> </w:t>
      </w:r>
      <w:r w:rsidR="00E02BC4">
        <w:t>…)</w:t>
      </w:r>
      <w:r w:rsidR="00921751">
        <w:t xml:space="preserve">, ces exigences écologiques devront être </w:t>
      </w:r>
      <w:r w:rsidR="00784B64">
        <w:t xml:space="preserve">définies </w:t>
      </w:r>
      <w:r w:rsidR="00921751">
        <w:t xml:space="preserve">en fonction de leurs effets attendus </w:t>
      </w:r>
      <w:r w:rsidR="00C75386">
        <w:t xml:space="preserve">et mesurés </w:t>
      </w:r>
      <w:r w:rsidR="00921751">
        <w:t>dans le temps.</w:t>
      </w:r>
      <w:r w:rsidR="00A519B2">
        <w:t xml:space="preserve"> </w:t>
      </w:r>
      <w:r w:rsidR="00FF39C3">
        <w:t>Il ne saurait s’agir d’indicateurs globaux comme l’empreinte carbone</w:t>
      </w:r>
      <w:r w:rsidR="0086251F">
        <w:t xml:space="preserve"> ou les émissions de gaz à effet de serre</w:t>
      </w:r>
      <w:r w:rsidR="00531573">
        <w:t xml:space="preserve">, mais de critères </w:t>
      </w:r>
      <w:r w:rsidR="0086251F">
        <w:t xml:space="preserve">précis et </w:t>
      </w:r>
      <w:r w:rsidR="00531573">
        <w:t xml:space="preserve">spécifiques </w:t>
      </w:r>
      <w:r w:rsidR="00593ED7">
        <w:t xml:space="preserve">à chaque activité </w:t>
      </w:r>
      <w:r w:rsidR="00531573">
        <w:t xml:space="preserve">dont les contributions écologiques à court, moyen et long terme seront rapportées à leurs incidences </w:t>
      </w:r>
      <w:r w:rsidR="0086251F">
        <w:t xml:space="preserve">chiffrées </w:t>
      </w:r>
      <w:r w:rsidR="00531573">
        <w:t xml:space="preserve">sur les comptes d’exploitation. Des travaux </w:t>
      </w:r>
      <w:r w:rsidR="0005541A">
        <w:t>de fond en la matière s’impose au niveau de l’Union</w:t>
      </w:r>
      <w:r w:rsidR="00BD6B35">
        <w:t>, à partir des premières recherches dites de « taxinomie »,</w:t>
      </w:r>
      <w:r w:rsidR="0005541A">
        <w:t xml:space="preserve"> avec la collaboration de chacun des Etats-Membres. </w:t>
      </w:r>
      <w:r w:rsidR="00B61107">
        <w:t>Les 17 objectifs de développements durables de l’OCDE proposés en 2015 fournissent également un cadre de réflexion intéressant</w:t>
      </w:r>
      <w:r w:rsidR="00784B64">
        <w:t>, mais encore matière à débats</w:t>
      </w:r>
      <w:r w:rsidR="00B61107">
        <w:t xml:space="preserve">. </w:t>
      </w:r>
      <w:r w:rsidR="00183323">
        <w:t xml:space="preserve">Les obligations de </w:t>
      </w:r>
      <w:r w:rsidR="00CE14D9">
        <w:t>« </w:t>
      </w:r>
      <w:r w:rsidR="00183323">
        <w:t>reporting</w:t>
      </w:r>
      <w:r w:rsidR="00CE14D9">
        <w:t> » et d’audit</w:t>
      </w:r>
      <w:r w:rsidR="00BD6B35">
        <w:t xml:space="preserve"> extra-financier </w:t>
      </w:r>
      <w:r w:rsidR="00B61107">
        <w:t xml:space="preserve">indépendant </w:t>
      </w:r>
      <w:r w:rsidR="009900AA">
        <w:t>adapté</w:t>
      </w:r>
      <w:r w:rsidR="00183323">
        <w:t xml:space="preserve"> mériteraient </w:t>
      </w:r>
      <w:r w:rsidR="00784B64">
        <w:t>également</w:t>
      </w:r>
      <w:r w:rsidR="0005541A">
        <w:t xml:space="preserve"> </w:t>
      </w:r>
      <w:r w:rsidR="00183323">
        <w:t>d’être coordonnées au plan européen dans la ligne du « GRI » (« Global Reporting Initiative »)</w:t>
      </w:r>
      <w:r w:rsidR="00784B1D">
        <w:t xml:space="preserve"> </w:t>
      </w:r>
      <w:r w:rsidR="00E83E8D">
        <w:t xml:space="preserve">qui avait été </w:t>
      </w:r>
      <w:r w:rsidR="006B3AB3">
        <w:t>recommandée</w:t>
      </w:r>
      <w:r w:rsidR="00784B1D">
        <w:t xml:space="preserve"> par l’ONU </w:t>
      </w:r>
      <w:r w:rsidR="00C75386">
        <w:t>au début d</w:t>
      </w:r>
      <w:r w:rsidR="00784B1D">
        <w:t xml:space="preserve">es années </w:t>
      </w:r>
      <w:r w:rsidR="004F5B05">
        <w:t>2000</w:t>
      </w:r>
      <w:r w:rsidR="00593ED7">
        <w:t xml:space="preserve"> dans le contexte du « Pacte Global »</w:t>
      </w:r>
      <w:r w:rsidR="00183323">
        <w:t xml:space="preserve">. </w:t>
      </w:r>
      <w:r w:rsidR="0086251F">
        <w:t xml:space="preserve">Il ne saurait être question de se limiter à une approche </w:t>
      </w:r>
      <w:r w:rsidR="00593ED7">
        <w:t xml:space="preserve">du type </w:t>
      </w:r>
      <w:r w:rsidR="0086251F">
        <w:t>« comply or explain », mais d</w:t>
      </w:r>
      <w:r w:rsidR="0020641F">
        <w:t xml:space="preserve">e permettre </w:t>
      </w:r>
      <w:r w:rsidR="00593ED7">
        <w:t xml:space="preserve">aux analystes indépendants </w:t>
      </w:r>
      <w:r w:rsidR="0020641F">
        <w:t>une véritable interprétation des résultats obtenus. Par ailleurs, u</w:t>
      </w:r>
      <w:r w:rsidR="00C75386">
        <w:t>ne mise au point s’impose</w:t>
      </w:r>
      <w:r w:rsidR="00E02BC4">
        <w:t>ra</w:t>
      </w:r>
      <w:r w:rsidR="00C75386">
        <w:t xml:space="preserve"> au regard des approches dites « ISR » (« Investissements Socialement Responsables ») qui relèvent, aujourd’hui encore, </w:t>
      </w:r>
      <w:r w:rsidR="0020641F">
        <w:t xml:space="preserve">bien </w:t>
      </w:r>
      <w:r w:rsidR="00C75386">
        <w:t>davantage du marketing financier que des réalités économiques</w:t>
      </w:r>
      <w:r w:rsidR="00FF39C3">
        <w:t>,</w:t>
      </w:r>
      <w:r w:rsidR="00C75386">
        <w:t xml:space="preserve"> financières</w:t>
      </w:r>
      <w:r w:rsidR="00531573">
        <w:t>, sociales</w:t>
      </w:r>
      <w:r w:rsidR="00FF39C3">
        <w:t xml:space="preserve"> et technologiques</w:t>
      </w:r>
      <w:r w:rsidR="00784B64">
        <w:t xml:space="preserve"> </w:t>
      </w:r>
      <w:r w:rsidR="00E02BC4">
        <w:t xml:space="preserve">des </w:t>
      </w:r>
      <w:r w:rsidR="00784B64">
        <w:t>entreprises</w:t>
      </w:r>
      <w:r w:rsidR="00C75386">
        <w:t xml:space="preserve">. </w:t>
      </w:r>
      <w:r w:rsidR="007E7190">
        <w:t xml:space="preserve">Il est vraisemblable que les états d’esprit et les résultats </w:t>
      </w:r>
      <w:r w:rsidR="00C75386">
        <w:t>n’</w:t>
      </w:r>
      <w:r w:rsidR="007E7190">
        <w:t>évolueront</w:t>
      </w:r>
      <w:r w:rsidR="00C75386">
        <w:t xml:space="preserve"> pas tant que </w:t>
      </w:r>
      <w:r w:rsidR="007E7190">
        <w:t>les considérations écologiques seront considérées comme de</w:t>
      </w:r>
      <w:r w:rsidR="0020641F">
        <w:t xml:space="preserve"> regrettables</w:t>
      </w:r>
      <w:r w:rsidR="007E7190">
        <w:t xml:space="preserve"> contraintes</w:t>
      </w:r>
      <w:r w:rsidR="00C75386">
        <w:t xml:space="preserve"> externes, au lieu d’être retenues</w:t>
      </w:r>
      <w:r w:rsidR="007E7190">
        <w:t xml:space="preserve"> comme des objectifs </w:t>
      </w:r>
      <w:r w:rsidR="00C75386">
        <w:t>spécifiques intégrés aux stratégies globales d</w:t>
      </w:r>
      <w:r w:rsidR="007E7190">
        <w:t>es entreprises.</w:t>
      </w:r>
      <w:r w:rsidR="00531573">
        <w:t xml:space="preserve"> </w:t>
      </w:r>
      <w:r w:rsidR="00593ED7">
        <w:t xml:space="preserve">En somme, il s’agit de passer de l’écologie considéré comme une idéologie à l’écologie scientifique issue d’un consensus généralement admis. </w:t>
      </w:r>
      <w:r w:rsidR="00531573">
        <w:t xml:space="preserve">Cette évolution </w:t>
      </w:r>
      <w:r w:rsidR="00593ED7">
        <w:t xml:space="preserve">indispensable </w:t>
      </w:r>
      <w:r w:rsidR="00531573">
        <w:t xml:space="preserve">des mentalités est tributaire d’une </w:t>
      </w:r>
      <w:r w:rsidR="0086251F">
        <w:t xml:space="preserve">authentique </w:t>
      </w:r>
      <w:r w:rsidR="00531573">
        <w:t xml:space="preserve">éthique </w:t>
      </w:r>
      <w:r w:rsidR="00144E55">
        <w:t xml:space="preserve">de la responsabilité </w:t>
      </w:r>
      <w:r w:rsidR="00531573">
        <w:t xml:space="preserve">partagée </w:t>
      </w:r>
      <w:r w:rsidR="00144E55">
        <w:t xml:space="preserve">par les parties prenantes </w:t>
      </w:r>
      <w:r w:rsidR="00531573">
        <w:t xml:space="preserve">dans des milieux hautement concurrentiels, ce qui reste un sujet à </w:t>
      </w:r>
      <w:r w:rsidR="00475967">
        <w:t xml:space="preserve">de </w:t>
      </w:r>
      <w:r w:rsidR="00144E55">
        <w:t xml:space="preserve">vigoureux </w:t>
      </w:r>
      <w:r w:rsidR="00531573">
        <w:t>débats</w:t>
      </w:r>
      <w:r w:rsidR="00475967">
        <w:t xml:space="preserve"> </w:t>
      </w:r>
      <w:r w:rsidR="00531573">
        <w:t>…</w:t>
      </w:r>
      <w:r w:rsidR="00C97942">
        <w:t xml:space="preserve"> </w:t>
      </w:r>
      <w:r w:rsidR="0086251F">
        <w:t>en Europe et ailleurs.</w:t>
      </w:r>
    </w:p>
    <w:p w14:paraId="321E23A9" w14:textId="6E5F74F1" w:rsidR="000C089F" w:rsidRDefault="00BA66F8" w:rsidP="00E83E8D">
      <w:pPr>
        <w:pStyle w:val="Paragraphedeliste"/>
        <w:jc w:val="both"/>
      </w:pPr>
      <w:r>
        <w:t>C</w:t>
      </w:r>
      <w:r w:rsidR="00813A98">
        <w:t>es sociétés</w:t>
      </w:r>
      <w:r>
        <w:t xml:space="preserve"> de taille moyenne</w:t>
      </w:r>
      <w:r w:rsidR="00C93211">
        <w:t xml:space="preserve"> ne doivent pas être déstabilisé</w:t>
      </w:r>
      <w:r w:rsidR="00EC783D">
        <w:t>e</w:t>
      </w:r>
      <w:r w:rsidR="00C93211">
        <w:t>s par des prises de co</w:t>
      </w:r>
      <w:r w:rsidR="00692FB3">
        <w:t>ntrôle</w:t>
      </w:r>
      <w:r w:rsidR="0083422F">
        <w:t xml:space="preserve"> hostiles</w:t>
      </w:r>
      <w:r w:rsidR="00813A98">
        <w:t>,</w:t>
      </w:r>
      <w:r w:rsidR="002B6EF4">
        <w:t xml:space="preserve"> </w:t>
      </w:r>
      <w:r w:rsidR="0083422F">
        <w:t xml:space="preserve">voire </w:t>
      </w:r>
      <w:r w:rsidR="00692FB3">
        <w:t>sauvages</w:t>
      </w:r>
      <w:r w:rsidR="00813A98">
        <w:t>,</w:t>
      </w:r>
      <w:r w:rsidR="00812622">
        <w:t xml:space="preserve"> au détriment de leurs chances </w:t>
      </w:r>
      <w:r w:rsidR="007D33DB">
        <w:t xml:space="preserve">réelles </w:t>
      </w:r>
      <w:r w:rsidR="00812622">
        <w:t>de développements</w:t>
      </w:r>
      <w:r w:rsidR="00183323">
        <w:t> </w:t>
      </w:r>
      <w:r w:rsidR="004F5B05">
        <w:t>locaux</w:t>
      </w:r>
      <w:r w:rsidR="00D02A45">
        <w:t xml:space="preserve"> </w:t>
      </w:r>
      <w:r w:rsidR="00183323">
        <w:t>: elles constituent le véritable gisement d’emplois durables</w:t>
      </w:r>
      <w:r w:rsidR="003E0A4D">
        <w:t xml:space="preserve"> en France comme en Allemagne, et sans doute en Europe</w:t>
      </w:r>
      <w:r w:rsidR="00D70405">
        <w:t xml:space="preserve">. Le maintien </w:t>
      </w:r>
      <w:r w:rsidR="00692FB3">
        <w:t>d’</w:t>
      </w:r>
      <w:r w:rsidR="00C93211">
        <w:t>équipes</w:t>
      </w:r>
      <w:r w:rsidR="00500EE1">
        <w:t xml:space="preserve"> </w:t>
      </w:r>
      <w:r w:rsidR="00660B24">
        <w:t>(dirigeants, cadres, non-cadres)</w:t>
      </w:r>
      <w:r w:rsidR="00C93211">
        <w:t xml:space="preserve"> </w:t>
      </w:r>
      <w:r w:rsidR="00692FB3">
        <w:t xml:space="preserve">compétentes </w:t>
      </w:r>
      <w:r w:rsidR="00812622">
        <w:t>et impliquées qui ont fait leurs preuves et conservé leur dynamisme</w:t>
      </w:r>
      <w:r w:rsidR="00C93211">
        <w:t xml:space="preserve"> s’impose </w:t>
      </w:r>
      <w:r w:rsidR="00366C7B">
        <w:t>en dépit de</w:t>
      </w:r>
      <w:r w:rsidR="00692FB3">
        <w:t xml:space="preserve"> pertes </w:t>
      </w:r>
      <w:r w:rsidR="00836193">
        <w:t xml:space="preserve">comptables </w:t>
      </w:r>
      <w:r w:rsidR="00620697">
        <w:t>liées à la crise</w:t>
      </w:r>
      <w:r w:rsidR="00660B24">
        <w:t> ; celles-ci sont généralement</w:t>
      </w:r>
      <w:r w:rsidR="00E7314E">
        <w:t xml:space="preserve"> </w:t>
      </w:r>
      <w:r w:rsidR="00812622">
        <w:t>survenues</w:t>
      </w:r>
      <w:r w:rsidR="0083422F">
        <w:t xml:space="preserve"> </w:t>
      </w:r>
      <w:r w:rsidR="008769F9">
        <w:t xml:space="preserve">du fait </w:t>
      </w:r>
      <w:r w:rsidR="00692FB3">
        <w:t>d’</w:t>
      </w:r>
      <w:r w:rsidR="00C93211">
        <w:t xml:space="preserve">équations </w:t>
      </w:r>
      <w:r w:rsidR="00BE373D">
        <w:t xml:space="preserve">impératives </w:t>
      </w:r>
      <w:r w:rsidR="00366C7B">
        <w:t xml:space="preserve">de </w:t>
      </w:r>
      <w:r w:rsidR="00620697">
        <w:t>« point-</w:t>
      </w:r>
      <w:r w:rsidR="00366C7B">
        <w:t>mort</w:t>
      </w:r>
      <w:r w:rsidR="00620697">
        <w:t> »</w:t>
      </w:r>
      <w:r w:rsidR="008769F9">
        <w:t xml:space="preserve"> qu’a imposées la période d’inactivité forcée</w:t>
      </w:r>
      <w:r w:rsidR="00366C7B">
        <w:t>. Le bon usage de</w:t>
      </w:r>
      <w:r w:rsidR="00E96FD4">
        <w:t xml:space="preserve"> </w:t>
      </w:r>
      <w:r w:rsidR="00E96FD4">
        <w:lastRenderedPageBreak/>
        <w:t>t</w:t>
      </w:r>
      <w:r w:rsidR="00660B24">
        <w:t xml:space="preserve">itres </w:t>
      </w:r>
      <w:r w:rsidR="00E96FD4">
        <w:t>p</w:t>
      </w:r>
      <w:r w:rsidR="00660B24">
        <w:t>articipatifs</w:t>
      </w:r>
      <w:r w:rsidR="00366C7B">
        <w:t xml:space="preserve"> spécifiques</w:t>
      </w:r>
      <w:r w:rsidR="00C93211">
        <w:t xml:space="preserve"> </w:t>
      </w:r>
      <w:r w:rsidR="00366C7B">
        <w:t>non cotés</w:t>
      </w:r>
      <w:r w:rsidR="004621FE">
        <w:t xml:space="preserve"> (« TP</w:t>
      </w:r>
      <w:r w:rsidR="002B6EF4">
        <w:t xml:space="preserve"> </w:t>
      </w:r>
      <w:r w:rsidR="008769F9">
        <w:t>»)</w:t>
      </w:r>
      <w:r w:rsidR="00BF3239">
        <w:t xml:space="preserve"> </w:t>
      </w:r>
      <w:r w:rsidR="004621FE">
        <w:t>subordonnées (« TS »)</w:t>
      </w:r>
      <w:r w:rsidR="00F60F56">
        <w:t xml:space="preserve"> </w:t>
      </w:r>
      <w:r w:rsidR="00BF3239">
        <w:t>ou hybrides (TH)</w:t>
      </w:r>
      <w:r w:rsidR="00A45345">
        <w:t>,</w:t>
      </w:r>
      <w:r w:rsidR="002F10D6">
        <w:t xml:space="preserve"> adaptés à chaque cas particulier</w:t>
      </w:r>
      <w:r w:rsidR="00A45345">
        <w:t>,</w:t>
      </w:r>
      <w:r w:rsidR="00366C7B">
        <w:t xml:space="preserve"> </w:t>
      </w:r>
      <w:r w:rsidR="00C93211">
        <w:t xml:space="preserve">doit </w:t>
      </w:r>
      <w:r w:rsidR="00366C7B">
        <w:t xml:space="preserve">leur </w:t>
      </w:r>
      <w:r w:rsidR="00C93211">
        <w:t>permettre de conforter</w:t>
      </w:r>
      <w:r w:rsidR="002F10D6">
        <w:t xml:space="preserve"> rapidement </w:t>
      </w:r>
      <w:r w:rsidR="00C93211">
        <w:t>leurs fo</w:t>
      </w:r>
      <w:r w:rsidR="00E7314E">
        <w:t>n</w:t>
      </w:r>
      <w:r w:rsidR="00C93211">
        <w:t>ds propres</w:t>
      </w:r>
      <w:r w:rsidR="00183323">
        <w:t>. Ce matelas fina</w:t>
      </w:r>
      <w:r w:rsidR="00C063C5">
        <w:t>ncier s’impose</w:t>
      </w:r>
      <w:r w:rsidR="00692FB3">
        <w:t xml:space="preserve"> en </w:t>
      </w:r>
      <w:r w:rsidR="00E96FD4">
        <w:t>vue d</w:t>
      </w:r>
      <w:r w:rsidR="008B43D7">
        <w:t xml:space="preserve">e lourds </w:t>
      </w:r>
      <w:r w:rsidR="00E96FD4">
        <w:t>investissements stratégiques</w:t>
      </w:r>
      <w:r w:rsidR="003E0A4D">
        <w:t xml:space="preserve"> à long terme dont on ne saurait sous-estimer l’ampleur </w:t>
      </w:r>
      <w:r w:rsidR="00E47E37">
        <w:t xml:space="preserve">en </w:t>
      </w:r>
      <w:r w:rsidR="00C063C5">
        <w:t xml:space="preserve">matière de </w:t>
      </w:r>
      <w:r w:rsidR="00E47E37">
        <w:t>recherche et développement</w:t>
      </w:r>
      <w:r w:rsidR="00C063C5">
        <w:t xml:space="preserve"> et de transition écologique</w:t>
      </w:r>
      <w:r w:rsidR="00E47E37">
        <w:t>,</w:t>
      </w:r>
      <w:r w:rsidR="00836193">
        <w:t xml:space="preserve"> sans </w:t>
      </w:r>
      <w:r w:rsidR="00BE18A8">
        <w:t xml:space="preserve">risque de </w:t>
      </w:r>
      <w:r w:rsidR="00836193">
        <w:t>dégradation</w:t>
      </w:r>
      <w:r w:rsidR="00C93211">
        <w:t xml:space="preserve"> </w:t>
      </w:r>
      <w:r w:rsidR="00E96FD4">
        <w:t xml:space="preserve">de </w:t>
      </w:r>
      <w:r w:rsidR="00C93211">
        <w:t xml:space="preserve">leurs notations bancaires. </w:t>
      </w:r>
      <w:r>
        <w:t>De</w:t>
      </w:r>
      <w:r w:rsidR="00D02874">
        <w:t xml:space="preserve"> nouveaux modes de financements en fonds propres permanents s’imposent </w:t>
      </w:r>
      <w:r w:rsidR="004F5B05">
        <w:t xml:space="preserve">impérativement </w:t>
      </w:r>
      <w:r>
        <w:t xml:space="preserve">aujourd’hui </w:t>
      </w:r>
      <w:r w:rsidR="00D02874">
        <w:t>dans un contexte d’endettement</w:t>
      </w:r>
      <w:r w:rsidR="00660B24">
        <w:t xml:space="preserve"> croissant et </w:t>
      </w:r>
      <w:r w:rsidR="00D02874">
        <w:t>massif</w:t>
      </w:r>
      <w:r>
        <w:t xml:space="preserve"> qui concerne au premier chef les </w:t>
      </w:r>
      <w:r w:rsidR="00D02874">
        <w:t>entreprises françaises (2.000</w:t>
      </w:r>
      <w:r w:rsidR="00A45345">
        <w:t xml:space="preserve"> m</w:t>
      </w:r>
      <w:r w:rsidR="00D02874">
        <w:t>ds € soit 75% du PIB</w:t>
      </w:r>
      <w:r>
        <w:t xml:space="preserve">). La tentation de l’endettement excessif est </w:t>
      </w:r>
      <w:r w:rsidR="004F5B05">
        <w:t xml:space="preserve">abusivement </w:t>
      </w:r>
      <w:r>
        <w:t>entretenue par l</w:t>
      </w:r>
      <w:r w:rsidR="00D02874">
        <w:t xml:space="preserve">e maintien artificiel de taux d’intérêts </w:t>
      </w:r>
      <w:r w:rsidR="007D33DB">
        <w:t xml:space="preserve">durablement </w:t>
      </w:r>
      <w:r w:rsidR="00D02874">
        <w:t>faibles</w:t>
      </w:r>
      <w:r w:rsidR="00E96FD4">
        <w:t xml:space="preserve"> par les banques centrales</w:t>
      </w:r>
      <w:r>
        <w:t>, en dépit de la</w:t>
      </w:r>
      <w:r w:rsidR="00D02874">
        <w:t xml:space="preserve"> dégradat</w:t>
      </w:r>
      <w:r w:rsidR="00500EE1">
        <w:t>ion potentielle</w:t>
      </w:r>
      <w:r>
        <w:t xml:space="preserve"> de</w:t>
      </w:r>
      <w:r w:rsidR="00FB298F">
        <w:t xml:space="preserve"> </w:t>
      </w:r>
      <w:r>
        <w:t xml:space="preserve">leurs </w:t>
      </w:r>
      <w:r w:rsidR="00FB298F">
        <w:t>notations bancaires</w:t>
      </w:r>
      <w:r w:rsidR="00660B24">
        <w:t xml:space="preserve"> ; ces dernières </w:t>
      </w:r>
      <w:r w:rsidR="00500EE1">
        <w:t xml:space="preserve">ne </w:t>
      </w:r>
      <w:r w:rsidR="00660B24">
        <w:t>suivent d’ailleurs</w:t>
      </w:r>
      <w:r w:rsidR="00D51DA6">
        <w:t xml:space="preserve"> </w:t>
      </w:r>
      <w:r w:rsidR="00500EE1">
        <w:t xml:space="preserve">pas nécessairement </w:t>
      </w:r>
      <w:r w:rsidR="00D51DA6">
        <w:t>la tendance générale caractérisée par</w:t>
      </w:r>
      <w:r w:rsidR="00660B24">
        <w:t xml:space="preserve"> l’</w:t>
      </w:r>
      <w:r w:rsidR="00D51DA6">
        <w:t xml:space="preserve">accélération </w:t>
      </w:r>
      <w:r w:rsidR="00A45345">
        <w:t>du nombre de</w:t>
      </w:r>
      <w:r w:rsidR="00D02874">
        <w:t xml:space="preserve"> « fallen angels »</w:t>
      </w:r>
      <w:r w:rsidR="00D51DA6">
        <w:t>,</w:t>
      </w:r>
      <w:r w:rsidR="00D02874">
        <w:t xml:space="preserve"> passant</w:t>
      </w:r>
      <w:r w:rsidR="004621FE">
        <w:t>, selon les terminologies des opérateurs financiers</w:t>
      </w:r>
      <w:r w:rsidR="00D02874">
        <w:t xml:space="preserve"> « d’investment grade</w:t>
      </w:r>
      <w:r w:rsidR="00660B24">
        <w:t>s</w:t>
      </w:r>
      <w:r w:rsidR="00D02874">
        <w:t> »</w:t>
      </w:r>
      <w:r>
        <w:t xml:space="preserve"> (notation positive)</w:t>
      </w:r>
      <w:r w:rsidR="00D02874">
        <w:t xml:space="preserve"> à « high yield</w:t>
      </w:r>
      <w:r w:rsidR="00660B24">
        <w:t>s »</w:t>
      </w:r>
      <w:r>
        <w:t xml:space="preserve"> (notation négative)</w:t>
      </w:r>
      <w:r w:rsidR="00D51DA6">
        <w:t>,</w:t>
      </w:r>
      <w:r w:rsidR="00660B24">
        <w:t xml:space="preserve"> sur les marchés internationaux</w:t>
      </w:r>
      <w:r w:rsidR="00E96FD4">
        <w:t>, à l’initiative du cartel des</w:t>
      </w:r>
      <w:r w:rsidR="00FB298F">
        <w:t xml:space="preserve"> gra</w:t>
      </w:r>
      <w:r w:rsidR="00500EE1">
        <w:t>n</w:t>
      </w:r>
      <w:r w:rsidR="00FB298F">
        <w:t>des age</w:t>
      </w:r>
      <w:r w:rsidR="00031168">
        <w:t xml:space="preserve">nces (Moody’s, Standard and Poor’s et </w:t>
      </w:r>
      <w:r w:rsidR="00FB298F">
        <w:t xml:space="preserve"> Fitch,…)</w:t>
      </w:r>
      <w:r w:rsidR="00660B24">
        <w:t>.</w:t>
      </w:r>
      <w:r w:rsidR="000E0ED1">
        <w:t xml:space="preserve"> A titre d’exemple, la Banque de France </w:t>
      </w:r>
      <w:r w:rsidR="00531573">
        <w:t>fournit une notation financière</w:t>
      </w:r>
      <w:r w:rsidR="000E0ED1">
        <w:t xml:space="preserve"> </w:t>
      </w:r>
      <w:r w:rsidR="00C0633E">
        <w:t>d</w:t>
      </w:r>
      <w:r w:rsidR="000E0ED1">
        <w:t>es entreprises de plus de 750.000 € de chiffre d’affaires, soit plus de 260.000 sociétés commerciales,</w:t>
      </w:r>
      <w:r w:rsidR="004F5B05">
        <w:t xml:space="preserve"> en région parisienne et en province,</w:t>
      </w:r>
      <w:r w:rsidR="000E0ED1">
        <w:t xml:space="preserve"> en privilégiant la notion de croissance régulière des fonds propres</w:t>
      </w:r>
      <w:r w:rsidR="00921751">
        <w:t>, d’équilibre des bilans</w:t>
      </w:r>
      <w:r w:rsidR="004F5B05">
        <w:t xml:space="preserve"> et de solvabilité à long terme</w:t>
      </w:r>
      <w:r w:rsidR="000E0ED1">
        <w:t>.</w:t>
      </w:r>
      <w:r w:rsidR="009900AA">
        <w:t xml:space="preserve"> L’analyse financière « buy side » devrait être réhabilitée dans la vie courante des affaires en intégrant les paramètres nouveaux qu’imposent les mutations écologiques et technologiques.</w:t>
      </w:r>
    </w:p>
    <w:p w14:paraId="5CCCF113" w14:textId="77777777" w:rsidR="00531573" w:rsidRDefault="00531573" w:rsidP="00E83E8D">
      <w:pPr>
        <w:pStyle w:val="Paragraphedeliste"/>
        <w:jc w:val="both"/>
      </w:pPr>
    </w:p>
    <w:p w14:paraId="5A3F36AA" w14:textId="2C78043E" w:rsidR="00E7314E" w:rsidRPr="008E17F0" w:rsidRDefault="00E7314E" w:rsidP="008E17F0">
      <w:pPr>
        <w:pStyle w:val="Paragraphedeliste"/>
        <w:numPr>
          <w:ilvl w:val="0"/>
          <w:numId w:val="3"/>
        </w:numPr>
        <w:jc w:val="both"/>
        <w:rPr>
          <w:u w:val="single"/>
        </w:rPr>
      </w:pPr>
      <w:r w:rsidRPr="008E17F0">
        <w:rPr>
          <w:u w:val="single"/>
        </w:rPr>
        <w:t>Les « deep pockets » de</w:t>
      </w:r>
      <w:r w:rsidR="00031168" w:rsidRPr="008E17F0">
        <w:rPr>
          <w:u w:val="single"/>
        </w:rPr>
        <w:t>s entreprises d’a</w:t>
      </w:r>
      <w:r w:rsidR="007D33DB" w:rsidRPr="008E17F0">
        <w:rPr>
          <w:u w:val="single"/>
        </w:rPr>
        <w:t>ssurances gérées en capitalisation</w:t>
      </w:r>
      <w:r w:rsidR="00A91816" w:rsidRPr="008E17F0">
        <w:rPr>
          <w:u w:val="single"/>
        </w:rPr>
        <w:t xml:space="preserve"> et les</w:t>
      </w:r>
      <w:r w:rsidR="00031168" w:rsidRPr="008E17F0">
        <w:rPr>
          <w:u w:val="single"/>
        </w:rPr>
        <w:t xml:space="preserve"> t</w:t>
      </w:r>
      <w:r w:rsidR="00500EE1" w:rsidRPr="008E17F0">
        <w:rPr>
          <w:u w:val="single"/>
        </w:rPr>
        <w:t xml:space="preserve">itres </w:t>
      </w:r>
      <w:r w:rsidR="00031168" w:rsidRPr="008E17F0">
        <w:rPr>
          <w:u w:val="single"/>
        </w:rPr>
        <w:t>p</w:t>
      </w:r>
      <w:r w:rsidR="00500EE1" w:rsidRPr="008E17F0">
        <w:rPr>
          <w:u w:val="single"/>
        </w:rPr>
        <w:t>articipatifs</w:t>
      </w:r>
      <w:r w:rsidR="00031168" w:rsidRPr="008E17F0">
        <w:rPr>
          <w:u w:val="single"/>
        </w:rPr>
        <w:t>,</w:t>
      </w:r>
      <w:r w:rsidR="00500EE1" w:rsidRPr="008E17F0">
        <w:rPr>
          <w:u w:val="single"/>
        </w:rPr>
        <w:t xml:space="preserve"> hybrides</w:t>
      </w:r>
      <w:r w:rsidR="00031168" w:rsidRPr="008E17F0">
        <w:rPr>
          <w:u w:val="single"/>
        </w:rPr>
        <w:t xml:space="preserve"> ou subordonnés (</w:t>
      </w:r>
      <w:r w:rsidR="00F0164A" w:rsidRPr="008E17F0">
        <w:rPr>
          <w:u w:val="single"/>
        </w:rPr>
        <w:t>placements et</w:t>
      </w:r>
      <w:r w:rsidR="002B6EF4" w:rsidRPr="008E17F0">
        <w:rPr>
          <w:u w:val="single"/>
        </w:rPr>
        <w:t xml:space="preserve"> </w:t>
      </w:r>
      <w:r w:rsidR="00F0164A" w:rsidRPr="008E17F0">
        <w:rPr>
          <w:u w:val="single"/>
        </w:rPr>
        <w:t>solvabilité</w:t>
      </w:r>
      <w:r w:rsidR="00500EE1" w:rsidRPr="008E17F0">
        <w:rPr>
          <w:u w:val="single"/>
        </w:rPr>
        <w:t>s</w:t>
      </w:r>
      <w:r w:rsidR="00031168" w:rsidRPr="008E17F0">
        <w:rPr>
          <w:u w:val="single"/>
        </w:rPr>
        <w:t>)</w:t>
      </w:r>
      <w:r w:rsidR="002B6EF4" w:rsidRPr="008E17F0">
        <w:rPr>
          <w:u w:val="single"/>
        </w:rPr>
        <w:t xml:space="preserve"> </w:t>
      </w:r>
      <w:r w:rsidR="00A91816" w:rsidRPr="008E17F0">
        <w:rPr>
          <w:u w:val="single"/>
        </w:rPr>
        <w:t>-</w:t>
      </w:r>
      <w:r w:rsidR="002B6EF4" w:rsidRPr="008E17F0">
        <w:rPr>
          <w:u w:val="single"/>
        </w:rPr>
        <w:t xml:space="preserve"> </w:t>
      </w:r>
      <w:r w:rsidR="00A40063" w:rsidRPr="008E17F0">
        <w:rPr>
          <w:u w:val="single"/>
        </w:rPr>
        <w:t>La spécificité</w:t>
      </w:r>
      <w:r w:rsidR="004621FE" w:rsidRPr="008E17F0">
        <w:rPr>
          <w:u w:val="single"/>
        </w:rPr>
        <w:t xml:space="preserve"> du</w:t>
      </w:r>
      <w:r w:rsidR="007D33DB" w:rsidRPr="008E17F0">
        <w:rPr>
          <w:u w:val="single"/>
        </w:rPr>
        <w:t xml:space="preserve"> cas français</w:t>
      </w:r>
      <w:r w:rsidR="00A91816" w:rsidRPr="008E17F0">
        <w:rPr>
          <w:u w:val="single"/>
        </w:rPr>
        <w:t xml:space="preserve"> situé dans le contexte européen</w:t>
      </w:r>
    </w:p>
    <w:p w14:paraId="4620FF29" w14:textId="77777777" w:rsidR="00366C7B" w:rsidRDefault="00366C7B" w:rsidP="00366C7B">
      <w:pPr>
        <w:pStyle w:val="Paragraphedeliste"/>
        <w:jc w:val="both"/>
        <w:rPr>
          <w:u w:val="single"/>
        </w:rPr>
      </w:pPr>
    </w:p>
    <w:p w14:paraId="7AE994D8" w14:textId="5A43DE1B" w:rsidR="00E7314E" w:rsidRDefault="00E7314E" w:rsidP="00E82199">
      <w:pPr>
        <w:pStyle w:val="Paragraphedeliste"/>
        <w:numPr>
          <w:ilvl w:val="0"/>
          <w:numId w:val="2"/>
        </w:numPr>
        <w:jc w:val="both"/>
      </w:pPr>
      <w:r>
        <w:t xml:space="preserve"> Les entreprises d’assurances</w:t>
      </w:r>
      <w:r w:rsidR="00042556">
        <w:t xml:space="preserve"> (Iard et V</w:t>
      </w:r>
      <w:r w:rsidR="002D4B0E">
        <w:t>i</w:t>
      </w:r>
      <w:r w:rsidR="00D02A45">
        <w:t>e</w:t>
      </w:r>
      <w:r w:rsidR="002D4B0E">
        <w:t>),</w:t>
      </w:r>
      <w:r>
        <w:t xml:space="preserve"> gérées en capitalisation</w:t>
      </w:r>
      <w:r w:rsidR="002D4B0E">
        <w:t>,</w:t>
      </w:r>
      <w:r>
        <w:t xml:space="preserve"> constituent </w:t>
      </w:r>
      <w:r w:rsidR="00692FB3">
        <w:t xml:space="preserve">actuellement </w:t>
      </w:r>
      <w:r>
        <w:t>le principal réservoir d’épargne longue en France (2</w:t>
      </w:r>
      <w:r w:rsidR="00692FB3">
        <w:t>.</w:t>
      </w:r>
      <w:r>
        <w:t>500</w:t>
      </w:r>
      <w:r w:rsidR="005F7066">
        <w:t xml:space="preserve"> </w:t>
      </w:r>
      <w:r>
        <w:t xml:space="preserve">mds €). Elles sont tributaires de règlementations </w:t>
      </w:r>
      <w:r w:rsidR="00BE18A8">
        <w:t xml:space="preserve">contraignantes </w:t>
      </w:r>
      <w:r w:rsidR="00BE373D">
        <w:t>de placements</w:t>
      </w:r>
      <w:r w:rsidR="00954AB7">
        <w:t xml:space="preserve"> via le Code des Assurances</w:t>
      </w:r>
      <w:r>
        <w:t>, de normes de solvabili</w:t>
      </w:r>
      <w:r w:rsidR="00954AB7">
        <w:t>té européennes (« Solvency 2 »)</w:t>
      </w:r>
      <w:r w:rsidR="002F10D6">
        <w:t xml:space="preserve"> applicabl</w:t>
      </w:r>
      <w:r w:rsidR="003C0CC0">
        <w:t>es depuis</w:t>
      </w:r>
      <w:r w:rsidR="002F10D6">
        <w:t xml:space="preserve"> 2016</w:t>
      </w:r>
      <w:r w:rsidR="00196B1F">
        <w:t>,</w:t>
      </w:r>
      <w:r w:rsidR="00BC0AB6">
        <w:t xml:space="preserve"> ainsi que</w:t>
      </w:r>
      <w:r>
        <w:t xml:space="preserve"> de dispositions comptables spécifiques pour leurs comptes consolidés (« IFRS</w:t>
      </w:r>
      <w:r w:rsidR="008769F9">
        <w:t xml:space="preserve"> 7</w:t>
      </w:r>
      <w:r>
        <w:t> »</w:t>
      </w:r>
      <w:r w:rsidR="00A45345">
        <w:t>, notamment</w:t>
      </w:r>
      <w:r>
        <w:t>).</w:t>
      </w:r>
      <w:r w:rsidR="00BC0AB6">
        <w:t xml:space="preserve"> </w:t>
      </w:r>
      <w:r w:rsidR="00836193">
        <w:t>A</w:t>
      </w:r>
      <w:r w:rsidR="00954AB7">
        <w:t xml:space="preserve"> la recherche </w:t>
      </w:r>
      <w:r w:rsidR="00BC0AB6">
        <w:t xml:space="preserve">constante </w:t>
      </w:r>
      <w:r w:rsidR="00954AB7">
        <w:t>d’</w:t>
      </w:r>
      <w:r w:rsidR="00177F09">
        <w:t xml:space="preserve">opportunités </w:t>
      </w:r>
      <w:r w:rsidR="00500EBE">
        <w:t xml:space="preserve">favorables </w:t>
      </w:r>
      <w:r w:rsidR="008769F9">
        <w:t xml:space="preserve">offertes par les </w:t>
      </w:r>
      <w:r w:rsidR="00BC0AB6">
        <w:t>marchés</w:t>
      </w:r>
      <w:r w:rsidR="008769F9">
        <w:t xml:space="preserve"> financiers</w:t>
      </w:r>
      <w:r w:rsidR="00BC0AB6">
        <w:t>, les compagnies d’assurances</w:t>
      </w:r>
      <w:r w:rsidR="00177F09">
        <w:t xml:space="preserve"> utilisent des mo</w:t>
      </w:r>
      <w:r w:rsidR="00954AB7">
        <w:t>dèles actuariels</w:t>
      </w:r>
      <w:r w:rsidR="00177F09">
        <w:t xml:space="preserve"> élaborés de type </w:t>
      </w:r>
      <w:r w:rsidR="00031168">
        <w:t>« </w:t>
      </w:r>
      <w:r w:rsidR="00177F09">
        <w:t>ALM</w:t>
      </w:r>
      <w:r w:rsidR="00031168">
        <w:t> » (« Assets and Liabilities Management »)</w:t>
      </w:r>
      <w:r w:rsidR="00177F09">
        <w:t xml:space="preserve"> ou </w:t>
      </w:r>
      <w:r w:rsidR="00031168">
        <w:t>« </w:t>
      </w:r>
      <w:r w:rsidR="00177F09">
        <w:t>LDM</w:t>
      </w:r>
      <w:r w:rsidR="00031168">
        <w:t> » (« Liabilities Driven Management »)</w:t>
      </w:r>
      <w:r w:rsidR="00500EE1">
        <w:t>. Ceux-ci contribuent à</w:t>
      </w:r>
      <w:r w:rsidR="003C0CC0">
        <w:t xml:space="preserve"> </w:t>
      </w:r>
      <w:r w:rsidR="00954AB7">
        <w:t>orienter</w:t>
      </w:r>
      <w:r w:rsidR="00BE373D">
        <w:t xml:space="preserve"> leurs placements à court, moyen et long terme</w:t>
      </w:r>
      <w:r w:rsidR="00954AB7">
        <w:t xml:space="preserve"> comp</w:t>
      </w:r>
      <w:r w:rsidR="00500EBE">
        <w:t>a</w:t>
      </w:r>
      <w:r w:rsidR="00954AB7">
        <w:t>t</w:t>
      </w:r>
      <w:r w:rsidR="00500EBE">
        <w:t>i</w:t>
      </w:r>
      <w:r w:rsidR="00954AB7">
        <w:t xml:space="preserve">bles avec </w:t>
      </w:r>
      <w:r w:rsidR="00D345DE">
        <w:t xml:space="preserve">les contraintes de </w:t>
      </w:r>
      <w:r w:rsidR="00954AB7">
        <w:t xml:space="preserve">leurs </w:t>
      </w:r>
      <w:r w:rsidR="00BC0AB6">
        <w:t xml:space="preserve">divers </w:t>
      </w:r>
      <w:r w:rsidR="00954AB7">
        <w:t>engagements techniques</w:t>
      </w:r>
      <w:r w:rsidR="00437A4C">
        <w:t xml:space="preserve"> à l’égard des assurés et souscripteurs</w:t>
      </w:r>
      <w:r w:rsidR="00177F09">
        <w:t>.</w:t>
      </w:r>
    </w:p>
    <w:p w14:paraId="78AC98A4" w14:textId="77777777" w:rsidR="008B78E8" w:rsidRDefault="008B78E8" w:rsidP="008B78E8">
      <w:pPr>
        <w:pStyle w:val="Paragraphedeliste"/>
        <w:jc w:val="both"/>
      </w:pPr>
    </w:p>
    <w:p w14:paraId="6E001136" w14:textId="1068D394" w:rsidR="00177F09" w:rsidRDefault="00177F09" w:rsidP="00E82199">
      <w:pPr>
        <w:pStyle w:val="Paragraphedeliste"/>
        <w:numPr>
          <w:ilvl w:val="0"/>
          <w:numId w:val="2"/>
        </w:numPr>
        <w:jc w:val="both"/>
      </w:pPr>
      <w:r>
        <w:t>En France, le</w:t>
      </w:r>
      <w:r w:rsidR="00812622">
        <w:t>s « catégories</w:t>
      </w:r>
      <w:r w:rsidR="002B6EF4">
        <w:t xml:space="preserve"> </w:t>
      </w:r>
      <w:r>
        <w:t xml:space="preserve">» de placements </w:t>
      </w:r>
      <w:r w:rsidR="00D345DE">
        <w:t>« </w:t>
      </w:r>
      <w:r>
        <w:t>admis</w:t>
      </w:r>
      <w:r w:rsidR="00031168">
        <w:t> » réservé aux t</w:t>
      </w:r>
      <w:r w:rsidR="003C0CC0">
        <w:t xml:space="preserve">itres </w:t>
      </w:r>
      <w:r w:rsidR="00031168">
        <w:t>p</w:t>
      </w:r>
      <w:r w:rsidR="003C0CC0">
        <w:t>articipatifs</w:t>
      </w:r>
      <w:r w:rsidR="00D345DE">
        <w:t xml:space="preserve"> émis par l</w:t>
      </w:r>
      <w:r>
        <w:t>es entreprises industrielles et commerciales (R 332-</w:t>
      </w:r>
      <w:r w:rsidR="00620697">
        <w:t>Al.</w:t>
      </w:r>
      <w:r>
        <w:t>2</w:t>
      </w:r>
      <w:r w:rsidR="00334ADE">
        <w:t>-</w:t>
      </w:r>
      <w:r>
        <w:t>c) est de 5%</w:t>
      </w:r>
      <w:r w:rsidR="00031168">
        <w:t xml:space="preserve"> maximum</w:t>
      </w:r>
      <w:r w:rsidR="00954AB7">
        <w:t xml:space="preserve"> des provisions techniques</w:t>
      </w:r>
      <w:r>
        <w:t xml:space="preserve">, soit une </w:t>
      </w:r>
      <w:r w:rsidR="00BE373D">
        <w:t xml:space="preserve">enveloppe théorique </w:t>
      </w:r>
      <w:r w:rsidR="00954AB7">
        <w:t>de l’ordre de 125</w:t>
      </w:r>
      <w:r w:rsidR="00BC0AB6">
        <w:t xml:space="preserve"> </w:t>
      </w:r>
      <w:r w:rsidR="00954AB7">
        <w:t>mds €</w:t>
      </w:r>
      <w:r w:rsidR="00AC42B2">
        <w:t xml:space="preserve"> pour l’ensemble du secteur</w:t>
      </w:r>
      <w:r w:rsidR="00954AB7">
        <w:t>. Une étude préal</w:t>
      </w:r>
      <w:r w:rsidR="00031168">
        <w:t>able des placements actuels en t</w:t>
      </w:r>
      <w:r w:rsidR="00196B1F">
        <w:t xml:space="preserve">itres </w:t>
      </w:r>
      <w:r w:rsidR="00031168">
        <w:t>p</w:t>
      </w:r>
      <w:r w:rsidR="00196B1F">
        <w:t xml:space="preserve">articipatifs, </w:t>
      </w:r>
      <w:r w:rsidR="005F7066">
        <w:t>admis en couverture des provisions techniques ou de leurs capitaux propres</w:t>
      </w:r>
      <w:r w:rsidR="00954AB7">
        <w:t>, au profit d’entreprises industrielles et commerciales ou d</w:t>
      </w:r>
      <w:r w:rsidR="00BC0AB6">
        <w:t>u secteur assurance</w:t>
      </w:r>
      <w:r w:rsidR="00451C29">
        <w:t xml:space="preserve"> </w:t>
      </w:r>
      <w:r w:rsidR="00196B1F">
        <w:t>(</w:t>
      </w:r>
      <w:r w:rsidR="00451C29">
        <w:t>R 332-</w:t>
      </w:r>
      <w:r w:rsidR="00F30CE0">
        <w:t>A-</w:t>
      </w:r>
      <w:r w:rsidR="00451C29">
        <w:t>6</w:t>
      </w:r>
      <w:r w:rsidR="00BC0AB6">
        <w:t>) s’impose</w:t>
      </w:r>
      <w:r w:rsidR="00D345DE">
        <w:t xml:space="preserve"> donc</w:t>
      </w:r>
      <w:r w:rsidR="00334ADE">
        <w:t xml:space="preserve"> pour évaluer les arbitrages induits</w:t>
      </w:r>
      <w:r w:rsidR="00BC0AB6">
        <w:t> ;</w:t>
      </w:r>
      <w:r w:rsidR="00954AB7">
        <w:t xml:space="preserve"> ce type de statistiques </w:t>
      </w:r>
      <w:r w:rsidR="00BC0AB6">
        <w:t xml:space="preserve">sectorielles </w:t>
      </w:r>
      <w:r w:rsidR="00954AB7">
        <w:t>est régulièrement réalisé par la FFA</w:t>
      </w:r>
      <w:r w:rsidR="004621FE">
        <w:t xml:space="preserve"> (« Fédération Française des Assurances »)</w:t>
      </w:r>
      <w:r w:rsidR="00954AB7">
        <w:t xml:space="preserve"> et/ou l’ACPR</w:t>
      </w:r>
      <w:r w:rsidR="00084A4C">
        <w:t xml:space="preserve"> </w:t>
      </w:r>
      <w:r w:rsidR="004621FE">
        <w:t xml:space="preserve">(« Autorité de </w:t>
      </w:r>
      <w:r w:rsidR="008A4796">
        <w:t>Contrôle Prudentiel et de R</w:t>
      </w:r>
      <w:r w:rsidR="00FD7D9B">
        <w:t>ésolu</w:t>
      </w:r>
      <w:r w:rsidR="004621FE">
        <w:t>tion »)</w:t>
      </w:r>
      <w:r w:rsidR="003002BD">
        <w:t xml:space="preserve"> pour compte commun</w:t>
      </w:r>
      <w:r w:rsidR="00031168">
        <w:t xml:space="preserve"> de la place</w:t>
      </w:r>
      <w:r w:rsidR="00954AB7">
        <w:t>.</w:t>
      </w:r>
    </w:p>
    <w:p w14:paraId="55651967" w14:textId="77777777" w:rsidR="008B78E8" w:rsidRDefault="008B78E8" w:rsidP="008B78E8">
      <w:pPr>
        <w:pStyle w:val="Paragraphedeliste"/>
      </w:pPr>
    </w:p>
    <w:p w14:paraId="20897BF5" w14:textId="77777777" w:rsidR="008B78E8" w:rsidRDefault="008B78E8" w:rsidP="008B78E8">
      <w:pPr>
        <w:pStyle w:val="Paragraphedeliste"/>
        <w:jc w:val="both"/>
      </w:pPr>
    </w:p>
    <w:p w14:paraId="13A13071" w14:textId="6EF08177" w:rsidR="00D02874" w:rsidRDefault="00031168" w:rsidP="00E82199">
      <w:pPr>
        <w:pStyle w:val="Paragraphedeliste"/>
        <w:numPr>
          <w:ilvl w:val="0"/>
          <w:numId w:val="2"/>
        </w:numPr>
        <w:jc w:val="both"/>
      </w:pPr>
      <w:r>
        <w:lastRenderedPageBreak/>
        <w:t>Les placements en t</w:t>
      </w:r>
      <w:r w:rsidR="003C0CC0">
        <w:t xml:space="preserve">itres </w:t>
      </w:r>
      <w:r>
        <w:t>p</w:t>
      </w:r>
      <w:r w:rsidR="003C0CC0">
        <w:t>articipatifs</w:t>
      </w:r>
      <w:r w:rsidR="00D02874">
        <w:t xml:space="preserve"> sont considérés par le code des assurances comme des valeurs « non amortissables »</w:t>
      </w:r>
      <w:r w:rsidR="003C0CC0">
        <w:t>,</w:t>
      </w:r>
      <w:r w:rsidR="00D02874">
        <w:t xml:space="preserve"> relevant </w:t>
      </w:r>
      <w:r w:rsidR="00196B1F">
        <w:t xml:space="preserve">donc </w:t>
      </w:r>
      <w:r w:rsidR="00D02874">
        <w:t>de l’article R 332-20</w:t>
      </w:r>
      <w:r w:rsidR="00F160F1">
        <w:t xml:space="preserve"> pour leur évaluation en comptes primaires</w:t>
      </w:r>
      <w:r w:rsidR="003C0CC0">
        <w:t>. C</w:t>
      </w:r>
      <w:r w:rsidR="00AD55DF">
        <w:t>e</w:t>
      </w:r>
      <w:r w:rsidR="003C0CC0">
        <w:t xml:space="preserve">tte classification </w:t>
      </w:r>
      <w:r w:rsidR="00AD55DF">
        <w:t xml:space="preserve">n’en fait pas pour autant des </w:t>
      </w:r>
      <w:r w:rsidR="00F160F1">
        <w:t>« </w:t>
      </w:r>
      <w:r w:rsidR="00AD55DF">
        <w:t>dettes perpétuelles</w:t>
      </w:r>
      <w:r w:rsidR="00F160F1">
        <w:t> »</w:t>
      </w:r>
      <w:r w:rsidR="00AD55DF">
        <w:t>, concept actuariel familier</w:t>
      </w:r>
      <w:r w:rsidR="00ED2114">
        <w:t>,</w:t>
      </w:r>
      <w:r w:rsidR="00AD55DF">
        <w:t xml:space="preserve"> mai</w:t>
      </w:r>
      <w:r w:rsidR="003C0CC0">
        <w:t>s qui ne correspond</w:t>
      </w:r>
      <w:r w:rsidR="00AD55DF">
        <w:t xml:space="preserve"> à aucune définition explicite en droit financier.</w:t>
      </w:r>
      <w:r w:rsidR="00196B1F">
        <w:t xml:space="preserve"> Les réticences qu’elles soulèvent,</w:t>
      </w:r>
      <w:r w:rsidR="00F160F1">
        <w:t xml:space="preserve"> justifiées par l’histoire, ne sont pas compensées, dans l’esprit des opérateurs financiers actuels, par les faveurs qu’accordent </w:t>
      </w:r>
      <w:r w:rsidR="00E83561">
        <w:t xml:space="preserve">aujourd’hui </w:t>
      </w:r>
      <w:r w:rsidR="00F160F1">
        <w:t>à ce concept théorique</w:t>
      </w:r>
      <w:r>
        <w:t xml:space="preserve"> des experts tels</w:t>
      </w:r>
      <w:r w:rsidR="00F160F1">
        <w:t xml:space="preserve"> Adair Turner, Dominique Straus</w:t>
      </w:r>
      <w:r w:rsidR="00E83561">
        <w:t>s</w:t>
      </w:r>
      <w:r w:rsidR="00F160F1">
        <w:t>–Kahn</w:t>
      </w:r>
      <w:r w:rsidR="00496B78">
        <w:t>, Jean Peyrelevade</w:t>
      </w:r>
      <w:r w:rsidR="00F160F1">
        <w:t xml:space="preserve"> </w:t>
      </w:r>
      <w:r w:rsidR="00E83561">
        <w:t>ou encore les équipes du ME</w:t>
      </w:r>
      <w:r>
        <w:t>TI japonais</w:t>
      </w:r>
      <w:r w:rsidR="00F160F1">
        <w:t>… Les effets en chaine négatifs des « dettes perpétuelles »</w:t>
      </w:r>
      <w:r w:rsidR="00E83561">
        <w:t>, s</w:t>
      </w:r>
      <w:r>
        <w:t>orte de « cache-misères » agité</w:t>
      </w:r>
      <w:r w:rsidR="00B034E2">
        <w:t>s</w:t>
      </w:r>
      <w:r w:rsidR="00E83561">
        <w:t xml:space="preserve"> à </w:t>
      </w:r>
      <w:r w:rsidR="00196B1F">
        <w:t xml:space="preserve">l’occasion de </w:t>
      </w:r>
      <w:r w:rsidR="00E83561">
        <w:t>chaque crise historique,</w:t>
      </w:r>
      <w:r w:rsidR="00F160F1">
        <w:t xml:space="preserve"> ne peuvent être sous-estimés</w:t>
      </w:r>
      <w:r w:rsidR="00E83561">
        <w:t xml:space="preserve"> par rapport aux intérêts légitimes des épargnants</w:t>
      </w:r>
      <w:r w:rsidR="00F160F1">
        <w:t>. Il est donc essentiel d’éviter toute confusion de langage préjudiciable à un raisonnement rigoureux</w:t>
      </w:r>
      <w:r w:rsidR="00196B1F">
        <w:t xml:space="preserve"> qu’exigent les circonstances dramatiques actuelles</w:t>
      </w:r>
      <w:r w:rsidR="00F160F1">
        <w:t>.</w:t>
      </w:r>
    </w:p>
    <w:p w14:paraId="1BA395AA" w14:textId="77777777" w:rsidR="008B78E8" w:rsidRDefault="008B78E8" w:rsidP="008B78E8">
      <w:pPr>
        <w:jc w:val="both"/>
      </w:pPr>
    </w:p>
    <w:p w14:paraId="29CC2137" w14:textId="4D047B54" w:rsidR="00177F09" w:rsidRDefault="00836193" w:rsidP="00E82199">
      <w:pPr>
        <w:pStyle w:val="Paragraphedeliste"/>
        <w:numPr>
          <w:ilvl w:val="0"/>
          <w:numId w:val="2"/>
        </w:numPr>
        <w:jc w:val="both"/>
      </w:pPr>
      <w:r>
        <w:t>Les compagnies d’assurance</w:t>
      </w:r>
      <w:r w:rsidR="00177F09">
        <w:t xml:space="preserve"> peuvent elles-mêmes nourrir</w:t>
      </w:r>
      <w:r w:rsidR="002D4B0E">
        <w:t>,</w:t>
      </w:r>
      <w:r w:rsidR="00031168">
        <w:t xml:space="preserve"> sous la forme de t</w:t>
      </w:r>
      <w:r w:rsidR="003C0CC0">
        <w:t xml:space="preserve">itres </w:t>
      </w:r>
      <w:r w:rsidR="00031168">
        <w:t>p</w:t>
      </w:r>
      <w:r w:rsidR="003C0CC0">
        <w:t>articipatifs</w:t>
      </w:r>
      <w:r w:rsidR="002D4B0E">
        <w:t>,</w:t>
      </w:r>
      <w:r w:rsidR="00177F09">
        <w:t xml:space="preserve"> leurs </w:t>
      </w:r>
      <w:r w:rsidR="005F7066">
        <w:t xml:space="preserve">propres </w:t>
      </w:r>
      <w:r w:rsidR="00177F09">
        <w:t>besoins en solvabilité</w:t>
      </w:r>
      <w:r w:rsidR="00BA66F8">
        <w:t>, les « Solvency Capital Requirement »</w:t>
      </w:r>
      <w:r w:rsidR="00177F09">
        <w:t xml:space="preserve"> (« SCR »</w:t>
      </w:r>
      <w:r w:rsidR="00AD55DF">
        <w:t xml:space="preserve"> en régime de croisière</w:t>
      </w:r>
      <w:r w:rsidR="00177F09">
        <w:t xml:space="preserve">) selon </w:t>
      </w:r>
      <w:r w:rsidR="00BA66F8">
        <w:t xml:space="preserve">la norme européenne dite </w:t>
      </w:r>
      <w:r w:rsidR="00592CC2">
        <w:t>« </w:t>
      </w:r>
      <w:r w:rsidR="00177F09">
        <w:t>Solvency 2</w:t>
      </w:r>
      <w:r w:rsidR="00592CC2">
        <w:t> »</w:t>
      </w:r>
      <w:r w:rsidR="00831590">
        <w:t xml:space="preserve"> adoptée en 2009</w:t>
      </w:r>
      <w:r w:rsidR="0056157E">
        <w:t>. Celle-ci est égale au cumul de 3 strates</w:t>
      </w:r>
      <w:r w:rsidR="00831590">
        <w:t xml:space="preserve"> de capitaux permanents</w:t>
      </w:r>
      <w:r w:rsidR="0056157E">
        <w:t xml:space="preserve">, </w:t>
      </w:r>
      <w:r w:rsidR="00831590">
        <w:t xml:space="preserve">dénommés </w:t>
      </w:r>
      <w:r w:rsidR="0056157E">
        <w:t>les « Tiers ». L</w:t>
      </w:r>
      <w:r w:rsidR="008A2E81">
        <w:t>es</w:t>
      </w:r>
      <w:r w:rsidR="00177F09">
        <w:t xml:space="preserve"> </w:t>
      </w:r>
      <w:r w:rsidR="00592CC2">
        <w:t>« </w:t>
      </w:r>
      <w:r w:rsidR="00177F09">
        <w:t>Tier</w:t>
      </w:r>
      <w:r w:rsidR="0056157E">
        <w:t>s</w:t>
      </w:r>
      <w:r w:rsidR="00177F09">
        <w:t xml:space="preserve"> 1 et 2</w:t>
      </w:r>
      <w:r w:rsidR="00592CC2">
        <w:t> »</w:t>
      </w:r>
      <w:r w:rsidR="00451C29">
        <w:t xml:space="preserve"> doivent respecter en effet</w:t>
      </w:r>
      <w:r w:rsidR="00177F09">
        <w:t xml:space="preserve"> des plafonds</w:t>
      </w:r>
      <w:r w:rsidR="00031168">
        <w:t xml:space="preserve"> confortables</w:t>
      </w:r>
      <w:r w:rsidR="00831590">
        <w:t xml:space="preserve"> de titres participatifs</w:t>
      </w:r>
      <w:r w:rsidR="00AC42B2">
        <w:t xml:space="preserve"> ou subordonnés,</w:t>
      </w:r>
      <w:r w:rsidR="00831590">
        <w:t xml:space="preserve"> soit </w:t>
      </w:r>
      <w:r w:rsidR="00031168">
        <w:t>20% maximum</w:t>
      </w:r>
      <w:r w:rsidR="003002BD">
        <w:t xml:space="preserve"> </w:t>
      </w:r>
      <w:r w:rsidR="00842AB6">
        <w:t>à l’</w:t>
      </w:r>
      <w:r>
        <w:t>inté</w:t>
      </w:r>
      <w:r w:rsidR="00842AB6">
        <w:t>rieur du</w:t>
      </w:r>
      <w:r w:rsidR="00604806">
        <w:t xml:space="preserve"> </w:t>
      </w:r>
      <w:r w:rsidR="00592CC2">
        <w:t>« </w:t>
      </w:r>
      <w:r w:rsidR="008A2E81">
        <w:t>Tier 1 »</w:t>
      </w:r>
      <w:r w:rsidR="00F60F56">
        <w:t> ; p</w:t>
      </w:r>
      <w:r w:rsidR="00831590">
        <w:t>ar ailleurs le total</w:t>
      </w:r>
      <w:r w:rsidR="008A2E81">
        <w:t> </w:t>
      </w:r>
      <w:r w:rsidR="003E0A4D">
        <w:t xml:space="preserve">: </w:t>
      </w:r>
      <w:r w:rsidR="008A2E81">
        <w:t>« Tiers 2+ 3</w:t>
      </w:r>
      <w:r w:rsidR="00604806">
        <w:t xml:space="preserve"> </w:t>
      </w:r>
      <w:r w:rsidR="00592CC2">
        <w:t>»</w:t>
      </w:r>
      <w:r w:rsidR="003002BD">
        <w:t> </w:t>
      </w:r>
      <w:r w:rsidR="00F60F56">
        <w:t>doit rester infé</w:t>
      </w:r>
      <w:r w:rsidR="00831590">
        <w:t>rieur à</w:t>
      </w:r>
      <w:r w:rsidR="008A2E81">
        <w:t xml:space="preserve"> </w:t>
      </w:r>
      <w:r w:rsidR="00604806">
        <w:t>50% du total</w:t>
      </w:r>
      <w:r w:rsidR="003002BD">
        <w:t xml:space="preserve"> </w:t>
      </w:r>
      <w:r w:rsidR="00831590">
        <w:t xml:space="preserve">requis en </w:t>
      </w:r>
      <w:r w:rsidR="008A2E81">
        <w:t>« </w:t>
      </w:r>
      <w:r w:rsidR="003002BD">
        <w:t>SCR</w:t>
      </w:r>
      <w:r w:rsidR="008A2E81">
        <w:t> »</w:t>
      </w:r>
      <w:r w:rsidR="00592CC2">
        <w:t>, en l’état actuel</w:t>
      </w:r>
      <w:r w:rsidR="008A2E81">
        <w:t xml:space="preserve"> des normes européennes</w:t>
      </w:r>
      <w:r w:rsidR="00E82199">
        <w:t>.</w:t>
      </w:r>
      <w:r w:rsidR="00D345DE">
        <w:t xml:space="preserve"> Cette catég</w:t>
      </w:r>
      <w:r w:rsidR="00AD55DF">
        <w:t>orie de quasi-fonds propres pourrait</w:t>
      </w:r>
      <w:r w:rsidR="00D345DE">
        <w:t xml:space="preserve"> donc être </w:t>
      </w:r>
      <w:r w:rsidR="00AC42B2">
        <w:t xml:space="preserve">également </w:t>
      </w:r>
      <w:r w:rsidR="00D345DE">
        <w:t xml:space="preserve">mobilisée </w:t>
      </w:r>
      <w:r w:rsidR="00196B1F">
        <w:t>à court terme</w:t>
      </w:r>
      <w:r w:rsidR="003C0CC0">
        <w:t>, en cas d’urgence,</w:t>
      </w:r>
      <w:r w:rsidR="00196B1F">
        <w:t xml:space="preserve"> </w:t>
      </w:r>
      <w:r w:rsidR="00D345DE">
        <w:t>pour</w:t>
      </w:r>
      <w:r w:rsidR="00831590">
        <w:t xml:space="preserve"> conforter la solvabilité des compagnies d’assurances,</w:t>
      </w:r>
      <w:r w:rsidR="00D345DE">
        <w:t xml:space="preserve"> sauvegarder leur propre indépendance</w:t>
      </w:r>
      <w:r w:rsidR="00AD55DF">
        <w:t>, en dehors de tout effet dilutif</w:t>
      </w:r>
      <w:r w:rsidR="004621FE">
        <w:t xml:space="preserve"> de leur capital social</w:t>
      </w:r>
      <w:r w:rsidR="00D345DE">
        <w:t>.</w:t>
      </w:r>
      <w:r w:rsidR="00031168">
        <w:t xml:space="preserve"> Il est </w:t>
      </w:r>
      <w:r w:rsidR="00831590">
        <w:t xml:space="preserve">en effet </w:t>
      </w:r>
      <w:r w:rsidR="00031168">
        <w:t>vraisemblable</w:t>
      </w:r>
      <w:r w:rsidR="004621FE">
        <w:t>, selon leurs dirigeants,</w:t>
      </w:r>
      <w:r w:rsidR="00031168">
        <w:t xml:space="preserve"> que la crise fragilisera </w:t>
      </w:r>
      <w:r w:rsidR="00831590">
        <w:t>durablement</w:t>
      </w:r>
      <w:r w:rsidR="00BA66F8">
        <w:t xml:space="preserve"> </w:t>
      </w:r>
      <w:r w:rsidR="00031168">
        <w:t xml:space="preserve">leurs </w:t>
      </w:r>
      <w:r w:rsidR="00BA66F8">
        <w:t xml:space="preserve">propres </w:t>
      </w:r>
      <w:r w:rsidR="00031168">
        <w:t>niveaux de solvabilité</w:t>
      </w:r>
      <w:r w:rsidR="00385452">
        <w:t xml:space="preserve">, comme c’est déjà le cas en </w:t>
      </w:r>
      <w:r w:rsidR="008B78E8">
        <w:t>Allemagne</w:t>
      </w:r>
    </w:p>
    <w:p w14:paraId="3FFC152A" w14:textId="77777777" w:rsidR="008B78E8" w:rsidRDefault="008B78E8" w:rsidP="008B78E8">
      <w:pPr>
        <w:pStyle w:val="Paragraphedeliste"/>
      </w:pPr>
    </w:p>
    <w:p w14:paraId="38A6249A" w14:textId="77777777" w:rsidR="008B78E8" w:rsidRDefault="008B78E8" w:rsidP="008B78E8">
      <w:pPr>
        <w:pStyle w:val="Paragraphedeliste"/>
        <w:jc w:val="both"/>
      </w:pPr>
    </w:p>
    <w:p w14:paraId="1722FD5F" w14:textId="302CF321" w:rsidR="00604806" w:rsidRDefault="00604806" w:rsidP="00E82199">
      <w:pPr>
        <w:pStyle w:val="Paragraphedeliste"/>
        <w:numPr>
          <w:ilvl w:val="0"/>
          <w:numId w:val="2"/>
        </w:numPr>
        <w:jc w:val="both"/>
      </w:pPr>
      <w:r>
        <w:t xml:space="preserve">Le ratio moyen de solvabilité de 210% fin 2019 </w:t>
      </w:r>
      <w:r w:rsidR="008A2E81">
        <w:t xml:space="preserve">pour l’ensemble du secteur </w:t>
      </w:r>
      <w:r w:rsidR="00BE18A8">
        <w:t xml:space="preserve">français </w:t>
      </w:r>
      <w:r>
        <w:t>oscille</w:t>
      </w:r>
      <w:r w:rsidR="008A2E81">
        <w:t>,</w:t>
      </w:r>
      <w:r>
        <w:t xml:space="preserve"> pour chaque entreprise</w:t>
      </w:r>
      <w:r w:rsidR="008A2E81">
        <w:t>,</w:t>
      </w:r>
      <w:r>
        <w:t xml:space="preserve"> </w:t>
      </w:r>
      <w:r w:rsidR="008A2E81">
        <w:t>à l’intérieur</w:t>
      </w:r>
      <w:r w:rsidR="00592CC2">
        <w:t xml:space="preserve"> d’une fourchette-</w:t>
      </w:r>
      <w:r w:rsidR="008C0ABF">
        <w:t>cible, qui</w:t>
      </w:r>
      <w:r w:rsidR="00085450">
        <w:t xml:space="preserve"> </w:t>
      </w:r>
      <w:r w:rsidR="008C0ABF">
        <w:t>se situe à titre d’</w:t>
      </w:r>
      <w:r>
        <w:t>ex</w:t>
      </w:r>
      <w:r w:rsidR="008C0ABF">
        <w:t>emple, entre 170% et</w:t>
      </w:r>
      <w:r>
        <w:t xml:space="preserve"> 220% pour AXA</w:t>
      </w:r>
      <w:r w:rsidR="00196B1F">
        <w:t xml:space="preserve"> au plan mondial</w:t>
      </w:r>
      <w:r w:rsidR="00031168">
        <w:t>. Ce groupe multinational</w:t>
      </w:r>
      <w:r w:rsidR="00500EE1">
        <w:t xml:space="preserve"> utilise massivement les titres subordonnés pour couvrir sa</w:t>
      </w:r>
      <w:r w:rsidR="0056157E">
        <w:t xml:space="preserve"> propre </w:t>
      </w:r>
      <w:r w:rsidR="00946E3A">
        <w:t>« </w:t>
      </w:r>
      <w:r w:rsidR="00500EE1">
        <w:t>SCR</w:t>
      </w:r>
      <w:r w:rsidR="00946E3A">
        <w:t> »</w:t>
      </w:r>
      <w:r>
        <w:t>.</w:t>
      </w:r>
      <w:r w:rsidR="005F7066">
        <w:t xml:space="preserve"> En tant que telle</w:t>
      </w:r>
      <w:r w:rsidR="00592CC2">
        <w:t>,</w:t>
      </w:r>
      <w:r w:rsidR="005F7066">
        <w:t xml:space="preserve"> la crise « Covid 19 »</w:t>
      </w:r>
      <w:r w:rsidR="00031168">
        <w:t xml:space="preserve"> réduira</w:t>
      </w:r>
      <w:r w:rsidR="00E82199">
        <w:t xml:space="preserve"> </w:t>
      </w:r>
      <w:r w:rsidR="00BE18A8">
        <w:t xml:space="preserve">inévitablement </w:t>
      </w:r>
      <w:r w:rsidR="00E82199">
        <w:t xml:space="preserve">ce ratio </w:t>
      </w:r>
      <w:r w:rsidR="00AD55DF">
        <w:t>de solvabilité. I</w:t>
      </w:r>
      <w:r w:rsidR="00D345DE">
        <w:t xml:space="preserve">l convient d’évaluer </w:t>
      </w:r>
      <w:r w:rsidR="00AD55DF">
        <w:t xml:space="preserve">sérieusement </w:t>
      </w:r>
      <w:r w:rsidR="00D345DE">
        <w:t>dans quelles</w:t>
      </w:r>
      <w:r w:rsidR="00AD55DF">
        <w:t xml:space="preserve"> proportions </w:t>
      </w:r>
      <w:r w:rsidR="00D345DE">
        <w:t>précises</w:t>
      </w:r>
      <w:r w:rsidR="00AD55DF">
        <w:t xml:space="preserve"> se trouveraient affectés </w:t>
      </w:r>
      <w:r w:rsidR="00031168">
        <w:t xml:space="preserve">prochainement </w:t>
      </w:r>
      <w:r w:rsidR="00AD55DF">
        <w:t xml:space="preserve">les </w:t>
      </w:r>
      <w:r w:rsidR="00196B1F">
        <w:t>« </w:t>
      </w:r>
      <w:r w:rsidR="00AD55DF">
        <w:t>SCR</w:t>
      </w:r>
      <w:r w:rsidR="00196B1F">
        <w:t> »</w:t>
      </w:r>
      <w:r w:rsidR="00AD55DF">
        <w:t xml:space="preserve"> et le</w:t>
      </w:r>
      <w:r w:rsidR="00AC42B2">
        <w:t>ur</w:t>
      </w:r>
      <w:r w:rsidR="00AD55DF">
        <w:t>s moyens de couverture</w:t>
      </w:r>
      <w:r w:rsidR="00592CC2">
        <w:t xml:space="preserve"> </w:t>
      </w:r>
      <w:r w:rsidR="00E82199">
        <w:t xml:space="preserve">dans le cadre de </w:t>
      </w:r>
      <w:r w:rsidR="0056157E">
        <w:t xml:space="preserve">la norme européenne </w:t>
      </w:r>
      <w:r w:rsidR="00E82199">
        <w:t>« Solvency</w:t>
      </w:r>
      <w:r w:rsidR="00BE373D">
        <w:t xml:space="preserve"> </w:t>
      </w:r>
      <w:r w:rsidR="00E82199">
        <w:t>2 »</w:t>
      </w:r>
      <w:r w:rsidR="00451C29">
        <w:t>, en dehors</w:t>
      </w:r>
      <w:r w:rsidR="00CE14D9">
        <w:t xml:space="preserve"> </w:t>
      </w:r>
      <w:r w:rsidR="00016B42">
        <w:t xml:space="preserve">        </w:t>
      </w:r>
      <w:r w:rsidR="00451C29">
        <w:t>d</w:t>
      </w:r>
      <w:r w:rsidR="00376CA3">
        <w:t>’</w:t>
      </w:r>
      <w:r w:rsidR="00451C29">
        <w:t>effet</w:t>
      </w:r>
      <w:r w:rsidR="00AC42B2">
        <w:t>s</w:t>
      </w:r>
      <w:r w:rsidR="00023AD8">
        <w:t xml:space="preserve"> </w:t>
      </w:r>
      <w:r w:rsidR="00451C29">
        <w:t>d’annonce</w:t>
      </w:r>
      <w:r w:rsidR="0005541A">
        <w:t>s</w:t>
      </w:r>
      <w:r w:rsidR="00451C29">
        <w:t xml:space="preserve"> </w:t>
      </w:r>
      <w:r w:rsidR="004F5B05">
        <w:t xml:space="preserve">nettement </w:t>
      </w:r>
      <w:r w:rsidR="00451C29">
        <w:t>dissuasi</w:t>
      </w:r>
      <w:r w:rsidR="0005541A">
        <w:t>ve</w:t>
      </w:r>
      <w:r w:rsidR="00AC42B2">
        <w:t>s</w:t>
      </w:r>
      <w:r w:rsidR="003E0A4D">
        <w:t xml:space="preserve"> </w:t>
      </w:r>
      <w:r w:rsidR="00F60F56">
        <w:t xml:space="preserve">- </w:t>
      </w:r>
      <w:r w:rsidR="00C063C5">
        <w:t>mais</w:t>
      </w:r>
      <w:r w:rsidR="00F60F56">
        <w:t xml:space="preserve"> </w:t>
      </w:r>
      <w:r w:rsidR="004F5B05">
        <w:t xml:space="preserve">plus que </w:t>
      </w:r>
      <w:r w:rsidR="00F60F56">
        <w:t>vraisemblable</w:t>
      </w:r>
      <w:r w:rsidR="00AC42B2">
        <w:t>s</w:t>
      </w:r>
      <w:r w:rsidR="00F60F56">
        <w:t>-</w:t>
      </w:r>
      <w:r w:rsidR="0056157E">
        <w:t xml:space="preserve"> de la </w:t>
      </w:r>
      <w:r w:rsidR="00AC42B2">
        <w:t xml:space="preserve">part de </w:t>
      </w:r>
      <w:r w:rsidR="0005541A">
        <w:t>cette</w:t>
      </w:r>
      <w:r w:rsidR="00AC42B2">
        <w:t xml:space="preserve"> </w:t>
      </w:r>
      <w:r w:rsidR="0056157E">
        <w:t>profession</w:t>
      </w:r>
      <w:r w:rsidR="0005541A">
        <w:t xml:space="preserve"> fragilisée</w:t>
      </w:r>
      <w:r w:rsidR="00E82199">
        <w:t>.</w:t>
      </w:r>
    </w:p>
    <w:p w14:paraId="4777F754" w14:textId="77777777" w:rsidR="008B78E8" w:rsidRDefault="008B78E8" w:rsidP="008B78E8">
      <w:pPr>
        <w:pStyle w:val="Paragraphedeliste"/>
        <w:jc w:val="both"/>
      </w:pPr>
    </w:p>
    <w:p w14:paraId="345ED671" w14:textId="60583026" w:rsidR="00BE18A8" w:rsidRDefault="00592CC2" w:rsidP="00E82199">
      <w:pPr>
        <w:pStyle w:val="Paragraphedeliste"/>
        <w:numPr>
          <w:ilvl w:val="0"/>
          <w:numId w:val="2"/>
        </w:numPr>
        <w:jc w:val="both"/>
      </w:pPr>
      <w:r>
        <w:t>La nécessité</w:t>
      </w:r>
      <w:r w:rsidR="00604806">
        <w:t xml:space="preserve"> de décloisonner</w:t>
      </w:r>
      <w:r>
        <w:t>,</w:t>
      </w:r>
      <w:r w:rsidR="00604806">
        <w:t xml:space="preserve"> dans certaines limites</w:t>
      </w:r>
      <w:r>
        <w:t>,</w:t>
      </w:r>
      <w:r w:rsidR="00604806">
        <w:t xml:space="preserve"> ces différents plafonds </w:t>
      </w:r>
      <w:r w:rsidR="00451C29">
        <w:t xml:space="preserve">d’origine européenne </w:t>
      </w:r>
      <w:r>
        <w:t>pourrait s’imposer en vue de</w:t>
      </w:r>
      <w:r w:rsidR="00604806">
        <w:t xml:space="preserve"> concilier</w:t>
      </w:r>
      <w:r>
        <w:t xml:space="preserve">, </w:t>
      </w:r>
      <w:r w:rsidR="00836193">
        <w:t>au moins provisoirement pendant  la durée</w:t>
      </w:r>
      <w:r>
        <w:t xml:space="preserve"> de </w:t>
      </w:r>
      <w:r w:rsidR="00836193">
        <w:t xml:space="preserve"> la </w:t>
      </w:r>
      <w:r>
        <w:t>crise</w:t>
      </w:r>
      <w:r w:rsidR="008A2E81">
        <w:t>, à la fois</w:t>
      </w:r>
      <w:r w:rsidR="00BE373D">
        <w:t> :</w:t>
      </w:r>
      <w:r>
        <w:t xml:space="preserve"> </w:t>
      </w:r>
      <w:r w:rsidR="008A2E81">
        <w:t xml:space="preserve">les </w:t>
      </w:r>
      <w:r>
        <w:t xml:space="preserve">objectifs </w:t>
      </w:r>
      <w:r w:rsidR="00604806">
        <w:t xml:space="preserve">de </w:t>
      </w:r>
      <w:r>
        <w:t xml:space="preserve">nouveaux </w:t>
      </w:r>
      <w:r w:rsidR="00B034E2">
        <w:t>financements sous forme de</w:t>
      </w:r>
      <w:r w:rsidR="00031168">
        <w:t xml:space="preserve"> t</w:t>
      </w:r>
      <w:r w:rsidR="003C0CC0">
        <w:t xml:space="preserve">itres </w:t>
      </w:r>
      <w:r w:rsidR="00031168">
        <w:t>p</w:t>
      </w:r>
      <w:r w:rsidR="003C0CC0">
        <w:t>articipatifs</w:t>
      </w:r>
      <w:r w:rsidR="00D001CB">
        <w:t xml:space="preserve"> hybrides </w:t>
      </w:r>
      <w:r w:rsidR="00BE18A8">
        <w:t xml:space="preserve"> </w:t>
      </w:r>
      <w:r w:rsidR="00031168">
        <w:t xml:space="preserve">ou subordonnés </w:t>
      </w:r>
      <w:r w:rsidR="00BE18A8">
        <w:t>des entreprises industrielles et commerciales</w:t>
      </w:r>
      <w:r w:rsidR="00196B1F">
        <w:t>,</w:t>
      </w:r>
      <w:r w:rsidR="008A2E81">
        <w:t xml:space="preserve"> d’une part</w:t>
      </w:r>
      <w:r w:rsidR="00604806">
        <w:t xml:space="preserve">, </w:t>
      </w:r>
      <w:r w:rsidR="00ED2114">
        <w:t xml:space="preserve">le respect de </w:t>
      </w:r>
      <w:r w:rsidR="008A2E81">
        <w:t>le</w:t>
      </w:r>
      <w:r w:rsidR="00BE18A8">
        <w:t>ur</w:t>
      </w:r>
      <w:r w:rsidR="008A2E81">
        <w:t xml:space="preserve">s </w:t>
      </w:r>
      <w:r w:rsidR="00BE18A8">
        <w:t xml:space="preserve">propres </w:t>
      </w:r>
      <w:r w:rsidR="00604806">
        <w:t xml:space="preserve">contraintes règlementaires </w:t>
      </w:r>
      <w:r w:rsidR="00BE18A8">
        <w:t xml:space="preserve">de solvabilité </w:t>
      </w:r>
      <w:r w:rsidR="00604806">
        <w:t xml:space="preserve">et </w:t>
      </w:r>
      <w:r w:rsidR="00BE18A8">
        <w:t xml:space="preserve">les nécessaires </w:t>
      </w:r>
      <w:r>
        <w:t>ré</w:t>
      </w:r>
      <w:r w:rsidR="00604806">
        <w:t>orient</w:t>
      </w:r>
      <w:r>
        <w:t xml:space="preserve">ations </w:t>
      </w:r>
      <w:r w:rsidR="00BE18A8">
        <w:t xml:space="preserve">stratégiques </w:t>
      </w:r>
      <w:r>
        <w:t>ALM-LDM</w:t>
      </w:r>
      <w:r w:rsidR="00196B1F">
        <w:t>,</w:t>
      </w:r>
      <w:r>
        <w:t xml:space="preserve"> du fait de la pandémie</w:t>
      </w:r>
      <w:r w:rsidR="00031168">
        <w:t xml:space="preserve"> en cours</w:t>
      </w:r>
      <w:r w:rsidR="00196B1F">
        <w:t>,</w:t>
      </w:r>
      <w:r w:rsidR="008A2E81">
        <w:t xml:space="preserve"> d’autre part</w:t>
      </w:r>
      <w:r w:rsidR="00604806">
        <w:t>…</w:t>
      </w:r>
      <w:r w:rsidR="00BE18A8">
        <w:t xml:space="preserve"> </w:t>
      </w:r>
      <w:r w:rsidR="00AD55DF">
        <w:t xml:space="preserve">Il convient de rappeler que ce grave </w:t>
      </w:r>
      <w:r w:rsidR="00BE18A8">
        <w:t>accident sanitaire</w:t>
      </w:r>
      <w:r w:rsidR="008A2E81">
        <w:t xml:space="preserve"> </w:t>
      </w:r>
      <w:r w:rsidR="00AD55DF">
        <w:t xml:space="preserve">n’avait </w:t>
      </w:r>
      <w:r w:rsidR="00E82199">
        <w:t xml:space="preserve">d’ailleurs </w:t>
      </w:r>
      <w:r w:rsidR="008A2E81">
        <w:t xml:space="preserve">absolument </w:t>
      </w:r>
      <w:r w:rsidR="00BE18A8">
        <w:t xml:space="preserve">pas </w:t>
      </w:r>
      <w:r w:rsidR="00AD55DF">
        <w:t xml:space="preserve">été </w:t>
      </w:r>
      <w:r w:rsidR="00BE18A8">
        <w:t>intégré</w:t>
      </w:r>
      <w:r w:rsidR="00AD55DF">
        <w:t xml:space="preserve"> par les modèles actuariels mis en place à l’occasion de « Solvency 2 »</w:t>
      </w:r>
      <w:r w:rsidR="00604806">
        <w:t> !</w:t>
      </w:r>
      <w:r w:rsidR="00BB62DF">
        <w:t xml:space="preserve"> Les outils actuariels utilisés de types gaussiens ou stochastiques expliquent </w:t>
      </w:r>
      <w:r w:rsidR="000A4475">
        <w:t>encore cette myopie ;</w:t>
      </w:r>
      <w:r w:rsidR="00BB62DF">
        <w:t xml:space="preserve"> les mathématiques fractales conçues par Benoît Mandelbrot, il y a déjà plusieurs décennies, et </w:t>
      </w:r>
      <w:r w:rsidR="00BB62DF">
        <w:lastRenderedPageBreak/>
        <w:t>popularisées</w:t>
      </w:r>
      <w:r w:rsidR="000A4475">
        <w:t xml:space="preserve"> dans leurs principes et leurs conséquences</w:t>
      </w:r>
      <w:r w:rsidR="00BB62DF">
        <w:t xml:space="preserve"> par </w:t>
      </w:r>
      <w:r w:rsidR="000A4475">
        <w:t xml:space="preserve">Nassim </w:t>
      </w:r>
      <w:r w:rsidR="00BB62DF">
        <w:t>Nic</w:t>
      </w:r>
      <w:r w:rsidR="000A4475">
        <w:t>h</w:t>
      </w:r>
      <w:r w:rsidR="00BB62DF">
        <w:t>olas Taleb</w:t>
      </w:r>
      <w:r w:rsidR="000A4475">
        <w:t>, dans</w:t>
      </w:r>
      <w:r w:rsidR="00BB62DF">
        <w:t xml:space="preserve"> (</w:t>
      </w:r>
      <w:r w:rsidR="000A4475">
        <w:t>« Le hasard sauvage-2005 ;</w:t>
      </w:r>
      <w:r w:rsidR="00016B42">
        <w:t xml:space="preserve"> </w:t>
      </w:r>
      <w:r w:rsidR="00BB62DF">
        <w:t>« Le cygne noir »</w:t>
      </w:r>
      <w:r w:rsidR="000A4475">
        <w:t>-2007 ; « Jouer sa peau »-2017 ;…</w:t>
      </w:r>
      <w:r w:rsidR="00BB62DF">
        <w:t>)</w:t>
      </w:r>
      <w:r w:rsidR="00042556">
        <w:t xml:space="preserve"> </w:t>
      </w:r>
      <w:r w:rsidR="00BB62DF">
        <w:t>n’ont pas encore franchi les portes de ce</w:t>
      </w:r>
      <w:r w:rsidR="00042556">
        <w:t>s</w:t>
      </w:r>
      <w:r w:rsidR="00BB62DF">
        <w:t xml:space="preserve"> cénacle</w:t>
      </w:r>
      <w:r w:rsidR="00042556">
        <w:t xml:space="preserve">s publics, ni même celles de la plupart des </w:t>
      </w:r>
      <w:r w:rsidR="00BB62DF">
        <w:t xml:space="preserve"> milieux académiques</w:t>
      </w:r>
      <w:r w:rsidR="00C063C5">
        <w:t xml:space="preserve"> français</w:t>
      </w:r>
      <w:r w:rsidR="006B3AB3">
        <w:t xml:space="preserve"> </w:t>
      </w:r>
      <w:r w:rsidR="00BB62DF">
        <w:t>…</w:t>
      </w:r>
      <w:r w:rsidR="006B3AB3">
        <w:t xml:space="preserve"> </w:t>
      </w:r>
      <w:r w:rsidR="000A4475">
        <w:t>victimes</w:t>
      </w:r>
      <w:r w:rsidR="00D02A45">
        <w:t xml:space="preserve"> </w:t>
      </w:r>
      <w:r w:rsidR="000A4475">
        <w:t>d’un regrettable phénomène</w:t>
      </w:r>
      <w:r w:rsidR="00D02A45">
        <w:t xml:space="preserve"> </w:t>
      </w:r>
      <w:r w:rsidR="000A4475">
        <w:t>d’</w:t>
      </w:r>
      <w:r w:rsidR="00D02A45">
        <w:t> « </w:t>
      </w:r>
      <w:r w:rsidR="000A4475">
        <w:t>hysteresis</w:t>
      </w:r>
      <w:r w:rsidR="00D02A45">
        <w:t> »</w:t>
      </w:r>
      <w:r w:rsidR="006B3AB3">
        <w:t xml:space="preserve"> intellectuelle</w:t>
      </w:r>
      <w:r w:rsidR="000A4475">
        <w:t>.</w:t>
      </w:r>
      <w:r w:rsidR="00D02A45">
        <w:t xml:space="preserve"> </w:t>
      </w:r>
      <w:r w:rsidR="004F5B05">
        <w:t xml:space="preserve">Un renouvellement des formes de pensée, des habitudes d’enseignement et des applications pratiques s’imposent au monde de la finance qui </w:t>
      </w:r>
      <w:r w:rsidR="00D02A45">
        <w:t>sait</w:t>
      </w:r>
      <w:r w:rsidR="004F5B05">
        <w:t xml:space="preserve"> pourtant </w:t>
      </w:r>
      <w:r w:rsidR="00D02A45">
        <w:t xml:space="preserve">faire </w:t>
      </w:r>
      <w:r w:rsidR="004F5B05">
        <w:t>preuve de créativité à propos des instruments spéculatifs utilisés dans des martingales à hauts risques</w:t>
      </w:r>
      <w:r w:rsidR="00D02A45">
        <w:t xml:space="preserve"> sur les marchés dérivés</w:t>
      </w:r>
      <w:r w:rsidR="006B3AB3">
        <w:t xml:space="preserve"> de gré à gré (« OTC »)</w:t>
      </w:r>
      <w:r w:rsidR="004F5B05">
        <w:t>.</w:t>
      </w:r>
    </w:p>
    <w:p w14:paraId="323C0B74" w14:textId="77777777" w:rsidR="008B78E8" w:rsidRDefault="008B78E8" w:rsidP="008B78E8">
      <w:pPr>
        <w:pStyle w:val="Paragraphedeliste"/>
        <w:jc w:val="both"/>
      </w:pPr>
    </w:p>
    <w:p w14:paraId="355577FB" w14:textId="64B25E43" w:rsidR="00E934C3" w:rsidRDefault="003C0CC0" w:rsidP="00E82199">
      <w:pPr>
        <w:pStyle w:val="Paragraphedeliste"/>
        <w:numPr>
          <w:ilvl w:val="0"/>
          <w:numId w:val="2"/>
        </w:numPr>
        <w:jc w:val="both"/>
      </w:pPr>
      <w:r>
        <w:t>Le scenario proposé passe</w:t>
      </w:r>
      <w:r w:rsidR="0006254C">
        <w:t xml:space="preserve"> </w:t>
      </w:r>
      <w:r w:rsidR="00AC42B2">
        <w:t xml:space="preserve">donc </w:t>
      </w:r>
      <w:r w:rsidR="0006254C">
        <w:t>par une émission globale de t</w:t>
      </w:r>
      <w:r w:rsidR="00500EE1">
        <w:t xml:space="preserve">itres </w:t>
      </w:r>
      <w:r w:rsidR="0006254C">
        <w:t>p</w:t>
      </w:r>
      <w:r w:rsidR="00500EE1">
        <w:t>articipatifs,</w:t>
      </w:r>
      <w:r w:rsidR="0006254C">
        <w:t xml:space="preserve"> </w:t>
      </w:r>
      <w:r w:rsidR="00E934C3">
        <w:t>subordonnés</w:t>
      </w:r>
      <w:r w:rsidR="00BE18A8">
        <w:t xml:space="preserve"> </w:t>
      </w:r>
      <w:r w:rsidR="00500EE1">
        <w:t xml:space="preserve">ou hybrides </w:t>
      </w:r>
      <w:r w:rsidR="00BE18A8">
        <w:t xml:space="preserve">par la Banque de </w:t>
      </w:r>
      <w:r w:rsidR="00D345DE">
        <w:t>France (« TP</w:t>
      </w:r>
      <w:r w:rsidR="00500EE1">
        <w:t>,</w:t>
      </w:r>
      <w:r w:rsidR="00D345DE">
        <w:t xml:space="preserve"> </w:t>
      </w:r>
      <w:r w:rsidR="00500EE1">
        <w:t>TH ou TS-</w:t>
      </w:r>
      <w:r w:rsidR="00D345DE">
        <w:t>Banque de France »)</w:t>
      </w:r>
      <w:r>
        <w:t>, ce qui implique</w:t>
      </w:r>
      <w:r w:rsidR="00AC42B2">
        <w:t>rait</w:t>
      </w:r>
      <w:r>
        <w:t xml:space="preserve"> d’élargir le ratio règlementaire maximum de</w:t>
      </w:r>
      <w:r w:rsidR="00BE18A8">
        <w:t xml:space="preserve"> détention de titres émis par le même émetteur (5% actuellement)</w:t>
      </w:r>
      <w:r w:rsidR="00196B1F">
        <w:t>.</w:t>
      </w:r>
    </w:p>
    <w:p w14:paraId="2AE8A43D" w14:textId="1C1DA9B2" w:rsidR="00312921" w:rsidRDefault="00E934C3" w:rsidP="00FF6C37">
      <w:pPr>
        <w:jc w:val="both"/>
      </w:pPr>
      <w:r>
        <w:t>L’attractivité</w:t>
      </w:r>
      <w:r w:rsidR="00186426">
        <w:t xml:space="preserve"> et la liquidité </w:t>
      </w:r>
      <w:r>
        <w:t xml:space="preserve">de ce </w:t>
      </w:r>
      <w:r w:rsidR="00F160F1">
        <w:t xml:space="preserve">nouveau type de </w:t>
      </w:r>
      <w:r>
        <w:t>placement</w:t>
      </w:r>
      <w:r w:rsidR="00F160F1">
        <w:t>s</w:t>
      </w:r>
      <w:r>
        <w:t xml:space="preserve"> pour les entreprises d’assurances privées ne fait guère de doute si l’environnement de taux bas</w:t>
      </w:r>
      <w:r w:rsidR="008C0ABF">
        <w:t>,</w:t>
      </w:r>
      <w:r>
        <w:t xml:space="preserve"> voire négatifs</w:t>
      </w:r>
      <w:r w:rsidR="008C0ABF">
        <w:t>,</w:t>
      </w:r>
      <w:r>
        <w:t xml:space="preserve"> est maintenu dans la durée au détriment de </w:t>
      </w:r>
      <w:r w:rsidR="00AC42B2">
        <w:t xml:space="preserve">la rémunération de </w:t>
      </w:r>
      <w:r>
        <w:t xml:space="preserve">l’épargne et de la notation </w:t>
      </w:r>
      <w:r w:rsidR="00AC42B2">
        <w:t xml:space="preserve">dégradée </w:t>
      </w:r>
      <w:r>
        <w:t>des entreprises tentées par le surendettement</w:t>
      </w:r>
      <w:r w:rsidR="00AC42B2">
        <w:t xml:space="preserve"> à coûts faibles</w:t>
      </w:r>
      <w:r>
        <w:t>.</w:t>
      </w:r>
      <w:r w:rsidR="00604806">
        <w:t xml:space="preserve"> </w:t>
      </w:r>
      <w:r w:rsidR="00CA23DD">
        <w:t>Sur les 1.800</w:t>
      </w:r>
      <w:r w:rsidR="00500EE1">
        <w:t xml:space="preserve"> </w:t>
      </w:r>
      <w:r w:rsidR="00FD7D9B">
        <w:t xml:space="preserve">mds € </w:t>
      </w:r>
      <w:r w:rsidR="00CA23DD">
        <w:t>gérés par les compagnies françaises dans le cadre de contrats</w:t>
      </w:r>
      <w:r w:rsidR="00500EE1">
        <w:t xml:space="preserve"> d’assurance-</w:t>
      </w:r>
      <w:r w:rsidR="00B034E2">
        <w:t>vie</w:t>
      </w:r>
      <w:r w:rsidR="00CA23DD">
        <w:t xml:space="preserve"> à fonds garantis rachetables plane, par ailleurs, le risque majeur d’une hémorragie incontrôlable au cas </w:t>
      </w:r>
      <w:r w:rsidR="00500EE1">
        <w:t>où une hausse brutale</w:t>
      </w:r>
      <w:r w:rsidR="002D4B0E">
        <w:t xml:space="preserve"> et incontrôlée</w:t>
      </w:r>
      <w:r w:rsidR="00500EE1">
        <w:t xml:space="preserve"> des taux </w:t>
      </w:r>
      <w:r w:rsidR="0006254C">
        <w:t xml:space="preserve">d’intérêt sur les échéances longues </w:t>
      </w:r>
      <w:r w:rsidR="00CA23DD">
        <w:t>provoqu</w:t>
      </w:r>
      <w:r w:rsidR="00B034E2">
        <w:t>er</w:t>
      </w:r>
      <w:r w:rsidR="00CA23DD">
        <w:t xml:space="preserve">ait des moins-values </w:t>
      </w:r>
      <w:r w:rsidR="00B034E2">
        <w:t xml:space="preserve">latentes </w:t>
      </w:r>
      <w:r w:rsidR="00FF6C37">
        <w:t xml:space="preserve">significatives </w:t>
      </w:r>
      <w:r w:rsidR="00CA23DD">
        <w:t>sur leurs portefeuilles obligataires</w:t>
      </w:r>
      <w:r w:rsidR="00FF6C37">
        <w:t>.</w:t>
      </w:r>
      <w:r w:rsidR="00D7395C">
        <w:t xml:space="preserve"> Cette hypothèse pourrait provoquer la faillite des </w:t>
      </w:r>
      <w:r w:rsidR="006B3AB3">
        <w:t xml:space="preserve">compagnies détenant des </w:t>
      </w:r>
      <w:r w:rsidR="00D7395C">
        <w:t xml:space="preserve">portefeuilles </w:t>
      </w:r>
      <w:r w:rsidR="00D02A45">
        <w:t xml:space="preserve">de contrats </w:t>
      </w:r>
      <w:r w:rsidR="00D7395C">
        <w:t>anciens et favoriser le jeu de nouveaux entrants sur le marché de l’assurance-vie.</w:t>
      </w:r>
    </w:p>
    <w:p w14:paraId="39F179A6" w14:textId="0E9A9FBD" w:rsidR="00500EE1" w:rsidRDefault="002D4B0E" w:rsidP="00FF6C37">
      <w:pPr>
        <w:jc w:val="both"/>
      </w:pPr>
      <w:r>
        <w:t>De leur côté, l</w:t>
      </w:r>
      <w:r w:rsidR="0056157E">
        <w:t>es entreprises allemandes d’assurances–vie ne gèrent qu’un peu plus de 900 milliar</w:t>
      </w:r>
      <w:r w:rsidR="00E47E37">
        <w:t>ds € de placements et ne semble</w:t>
      </w:r>
      <w:r w:rsidR="00042556">
        <w:t>raie</w:t>
      </w:r>
      <w:r w:rsidR="00E47E37">
        <w:t xml:space="preserve">nt </w:t>
      </w:r>
      <w:r w:rsidR="0056157E">
        <w:t xml:space="preserve">pas </w:t>
      </w:r>
      <w:r w:rsidR="00E47E37">
        <w:t xml:space="preserve">courir </w:t>
      </w:r>
      <w:r w:rsidR="0056157E">
        <w:t>les mêmes</w:t>
      </w:r>
      <w:r w:rsidR="00BB183C">
        <w:t xml:space="preserve"> degrés de</w:t>
      </w:r>
      <w:r w:rsidR="0056157E">
        <w:t xml:space="preserve"> risques de rachats intempestifs</w:t>
      </w:r>
      <w:r w:rsidR="004621FE">
        <w:t xml:space="preserve"> à l’initiative des souscripteurs</w:t>
      </w:r>
      <w:r w:rsidR="0056157E">
        <w:t xml:space="preserve"> en cas de remontée rapide des ta</w:t>
      </w:r>
      <w:r w:rsidR="00AC42B2">
        <w:t xml:space="preserve">ux d’intérêt. En revanche, les compagnies allemandes </w:t>
      </w:r>
      <w:r w:rsidR="00E47E37">
        <w:t>souffrent cruellement</w:t>
      </w:r>
      <w:r w:rsidR="0056157E">
        <w:t xml:space="preserve"> de l’environnement </w:t>
      </w:r>
      <w:r w:rsidR="00FD7D9B">
        <w:t xml:space="preserve">durable </w:t>
      </w:r>
      <w:r w:rsidR="0056157E">
        <w:t xml:space="preserve">de taux </w:t>
      </w:r>
      <w:r w:rsidR="00042556">
        <w:t xml:space="preserve">d’intérêts </w:t>
      </w:r>
      <w:r w:rsidR="0056157E">
        <w:t>faibles</w:t>
      </w:r>
      <w:r w:rsidR="00B252D0">
        <w:t>,</w:t>
      </w:r>
      <w:r w:rsidR="0056157E">
        <w:t xml:space="preserve"> voire négatifs.</w:t>
      </w:r>
      <w:r w:rsidR="00AC42B2">
        <w:t xml:space="preserve"> </w:t>
      </w:r>
      <w:r w:rsidR="00E47E37">
        <w:t>Selon la BaFin, une ving</w:t>
      </w:r>
      <w:r w:rsidR="00042556">
        <w:t xml:space="preserve">taine de compagnies allemandes </w:t>
      </w:r>
      <w:r w:rsidR="00E47E37">
        <w:t xml:space="preserve">ferait l’objet d’une « vigilance intensive » pour défaut de </w:t>
      </w:r>
      <w:r w:rsidR="00B252D0">
        <w:t>solvabilité</w:t>
      </w:r>
      <w:r w:rsidR="00E47E37">
        <w:t xml:space="preserve"> et 84 </w:t>
      </w:r>
      <w:r w:rsidR="00B252D0">
        <w:t xml:space="preserve">autres </w:t>
      </w:r>
      <w:r w:rsidR="00E47E37">
        <w:t xml:space="preserve">feraient </w:t>
      </w:r>
      <w:r w:rsidR="00016B42">
        <w:t xml:space="preserve">actuellement </w:t>
      </w:r>
      <w:r w:rsidR="00E47E37">
        <w:t xml:space="preserve">face à des difficultés </w:t>
      </w:r>
      <w:r w:rsidR="00C97942">
        <w:t>inquiétantes</w:t>
      </w:r>
      <w:r w:rsidR="00E47E37">
        <w:t>.</w:t>
      </w:r>
      <w:r w:rsidR="00385452">
        <w:t xml:space="preserve"> </w:t>
      </w:r>
      <w:r w:rsidR="00FD7D9B">
        <w:t>La mise en place d’un financement du « Mittelstand » provenant des compagnies d’assurances via la médiation de la Buba devra tenir compte des prescript</w:t>
      </w:r>
      <w:r w:rsidR="00030A2F">
        <w:t>ions de l’autorité allemande</w:t>
      </w:r>
      <w:r w:rsidR="00016B42">
        <w:t xml:space="preserve"> </w:t>
      </w:r>
      <w:r w:rsidR="00042556">
        <w:t xml:space="preserve">de </w:t>
      </w:r>
      <w:r w:rsidR="00D16CB3">
        <w:t>supervision financière,</w:t>
      </w:r>
      <w:r w:rsidR="00144E55">
        <w:t xml:space="preserve"> </w:t>
      </w:r>
      <w:r w:rsidR="00D16CB3">
        <w:t>le</w:t>
      </w:r>
      <w:r w:rsidR="00016B42">
        <w:t xml:space="preserve"> </w:t>
      </w:r>
      <w:r w:rsidR="00183284">
        <w:t>« </w:t>
      </w:r>
      <w:r w:rsidR="00FD7D9B">
        <w:t>BaFin</w:t>
      </w:r>
      <w:r w:rsidR="00183284">
        <w:t> »</w:t>
      </w:r>
      <w:r w:rsidR="00FD7D9B">
        <w:t xml:space="preserve"> de Bonn (« Bundesanstalt für Finanzierungsdienstleistungsaufsicht »). </w:t>
      </w:r>
      <w:r w:rsidR="00AC42B2">
        <w:t xml:space="preserve">Eu égard aux efforts </w:t>
      </w:r>
      <w:r w:rsidR="00186426">
        <w:t>consentis</w:t>
      </w:r>
      <w:r w:rsidR="00AC42B2">
        <w:t xml:space="preserve"> depuis le printemps</w:t>
      </w:r>
      <w:r w:rsidR="004621FE">
        <w:t xml:space="preserve"> </w:t>
      </w:r>
      <w:r w:rsidR="00B03301">
        <w:t>par l’Etat Fédéral et les Länder</w:t>
      </w:r>
      <w:r w:rsidR="00186426">
        <w:t xml:space="preserve"> en</w:t>
      </w:r>
      <w:r w:rsidR="00AC42B2">
        <w:t xml:space="preserve"> faveur des</w:t>
      </w:r>
      <w:r w:rsidR="00186426">
        <w:t xml:space="preserve"> fonds propres du « Mittelstand », la solutio</w:t>
      </w:r>
      <w:r w:rsidR="005228DA">
        <w:t xml:space="preserve">n </w:t>
      </w:r>
      <w:r w:rsidR="00B252D0">
        <w:t xml:space="preserve">proposée ne </w:t>
      </w:r>
      <w:r w:rsidR="00385452">
        <w:t>saurait</w:t>
      </w:r>
      <w:r w:rsidR="00062EAE">
        <w:t xml:space="preserve"> présenter</w:t>
      </w:r>
      <w:r w:rsidR="005228DA">
        <w:t>, en toute logique</w:t>
      </w:r>
      <w:r w:rsidR="004621FE">
        <w:t>,</w:t>
      </w:r>
      <w:r w:rsidR="005228DA">
        <w:t xml:space="preserve"> </w:t>
      </w:r>
      <w:r w:rsidR="00B252D0">
        <w:t>qu’</w:t>
      </w:r>
      <w:r w:rsidR="005228DA">
        <w:t xml:space="preserve">une portée </w:t>
      </w:r>
      <w:r w:rsidR="00186426">
        <w:t xml:space="preserve">plus limitée en </w:t>
      </w:r>
      <w:r w:rsidR="005228DA">
        <w:t>Allemagne</w:t>
      </w:r>
      <w:r w:rsidR="00B03301">
        <w:t>,</w:t>
      </w:r>
      <w:r w:rsidR="005228DA">
        <w:t xml:space="preserve"> du fait de m</w:t>
      </w:r>
      <w:r w:rsidR="00AC42B2">
        <w:t>oindres besoins en capitaux stables</w:t>
      </w:r>
      <w:r w:rsidR="005228DA">
        <w:t xml:space="preserve"> du </w:t>
      </w:r>
      <w:r w:rsidR="00BB183C">
        <w:t>« </w:t>
      </w:r>
      <w:r w:rsidR="005228DA">
        <w:t>Mittelstand</w:t>
      </w:r>
      <w:r w:rsidR="00BB183C">
        <w:t> »</w:t>
      </w:r>
      <w:r w:rsidR="00B252D0">
        <w:t xml:space="preserve">, </w:t>
      </w:r>
      <w:r w:rsidR="005228DA">
        <w:t>d’une épargne de précaution assurantielle moins abondante</w:t>
      </w:r>
      <w:r w:rsidR="00B03301">
        <w:t xml:space="preserve"> outre-Rhin</w:t>
      </w:r>
      <w:r w:rsidR="00B252D0">
        <w:t xml:space="preserve"> et de la situation générale de ce secteur professionnel </w:t>
      </w:r>
      <w:r w:rsidR="00385452">
        <w:t xml:space="preserve">déjà </w:t>
      </w:r>
      <w:r w:rsidR="00B252D0">
        <w:t>durement éprouvé</w:t>
      </w:r>
      <w:r w:rsidR="005228DA">
        <w:t>.</w:t>
      </w:r>
    </w:p>
    <w:p w14:paraId="6939EA95" w14:textId="77777777" w:rsidR="004A138A" w:rsidRDefault="004A138A" w:rsidP="00FF6C37">
      <w:pPr>
        <w:jc w:val="both"/>
      </w:pPr>
    </w:p>
    <w:p w14:paraId="1BE5C069" w14:textId="45FB413D" w:rsidR="00312921" w:rsidRPr="008E17F0" w:rsidRDefault="00B930FE" w:rsidP="008E17F0">
      <w:pPr>
        <w:pStyle w:val="Paragraphedeliste"/>
        <w:numPr>
          <w:ilvl w:val="0"/>
          <w:numId w:val="3"/>
        </w:numPr>
        <w:jc w:val="both"/>
        <w:rPr>
          <w:u w:val="single"/>
        </w:rPr>
      </w:pPr>
      <w:r w:rsidRPr="008E17F0">
        <w:rPr>
          <w:u w:val="single"/>
        </w:rPr>
        <w:t>Pour un</w:t>
      </w:r>
      <w:r w:rsidR="00D15345" w:rsidRPr="008E17F0">
        <w:rPr>
          <w:u w:val="single"/>
        </w:rPr>
        <w:t>e action</w:t>
      </w:r>
      <w:r w:rsidRPr="008E17F0">
        <w:rPr>
          <w:u w:val="single"/>
        </w:rPr>
        <w:t xml:space="preserve"> </w:t>
      </w:r>
      <w:r w:rsidR="00376CA3" w:rsidRPr="008E17F0">
        <w:rPr>
          <w:u w:val="single"/>
        </w:rPr>
        <w:t xml:space="preserve">directe </w:t>
      </w:r>
      <w:r w:rsidRPr="008E17F0">
        <w:rPr>
          <w:u w:val="single"/>
        </w:rPr>
        <w:t>des</w:t>
      </w:r>
      <w:r w:rsidR="007D33DB" w:rsidRPr="008E17F0">
        <w:rPr>
          <w:u w:val="single"/>
        </w:rPr>
        <w:t xml:space="preserve"> banques centrales</w:t>
      </w:r>
      <w:r w:rsidR="00D15345" w:rsidRPr="008E17F0">
        <w:rPr>
          <w:u w:val="single"/>
        </w:rPr>
        <w:t xml:space="preserve"> en faveur des fonds propres des entreprises</w:t>
      </w:r>
    </w:p>
    <w:p w14:paraId="581343B3" w14:textId="77777777" w:rsidR="00366C7B" w:rsidRPr="00366C7B" w:rsidRDefault="00366C7B" w:rsidP="00366C7B">
      <w:pPr>
        <w:jc w:val="both"/>
        <w:rPr>
          <w:u w:val="single"/>
        </w:rPr>
      </w:pPr>
    </w:p>
    <w:p w14:paraId="761915C5" w14:textId="44903F53" w:rsidR="00312921" w:rsidRDefault="00312921" w:rsidP="008C0ABF">
      <w:pPr>
        <w:pStyle w:val="Paragraphedeliste"/>
        <w:numPr>
          <w:ilvl w:val="0"/>
          <w:numId w:val="2"/>
        </w:numPr>
        <w:jc w:val="both"/>
      </w:pPr>
      <w:r>
        <w:t>La médiation du crédit</w:t>
      </w:r>
      <w:r w:rsidR="00BE18A8">
        <w:t>, outil de « services à l’économie »</w:t>
      </w:r>
      <w:r w:rsidR="00196B1F">
        <w:t>,</w:t>
      </w:r>
      <w:r>
        <w:t xml:space="preserve"> fait partie des attributio</w:t>
      </w:r>
      <w:r w:rsidR="00B930FE">
        <w:t>ns essentielles des banques centrales</w:t>
      </w:r>
      <w:r w:rsidR="00BE18A8">
        <w:t xml:space="preserve"> à côté de</w:t>
      </w:r>
      <w:r w:rsidR="00451C29">
        <w:t>s deux autres</w:t>
      </w:r>
      <w:r w:rsidR="00AD55DF">
        <w:t xml:space="preserve"> plus connues</w:t>
      </w:r>
      <w:r w:rsidR="00451C29">
        <w:t> :</w:t>
      </w:r>
      <w:r w:rsidR="00BE18A8">
        <w:t xml:space="preserve"> l</w:t>
      </w:r>
      <w:r w:rsidR="00AD55DF">
        <w:t xml:space="preserve">a « stabilité financière » et </w:t>
      </w:r>
      <w:r w:rsidR="00BE18A8">
        <w:t>la « stratégie monétaire »</w:t>
      </w:r>
      <w:r w:rsidR="009B5F0D">
        <w:t xml:space="preserve">. La Banque </w:t>
      </w:r>
      <w:r w:rsidR="00B930FE">
        <w:t>de France</w:t>
      </w:r>
      <w:r>
        <w:t xml:space="preserve"> bénéficie</w:t>
      </w:r>
      <w:r w:rsidR="00B034E2">
        <w:t xml:space="preserve"> d’une solide s</w:t>
      </w:r>
      <w:r w:rsidR="009B5F0D">
        <w:t xml:space="preserve">tructure décentralisée </w:t>
      </w:r>
      <w:r>
        <w:t>de l’ordre d’une centaine de succursales</w:t>
      </w:r>
      <w:r w:rsidR="00BE18A8">
        <w:t xml:space="preserve"> en province</w:t>
      </w:r>
      <w:r w:rsidR="009B5F0D">
        <w:t xml:space="preserve"> (avec 4.200 agents statutaires)</w:t>
      </w:r>
      <w:r w:rsidR="006838B8">
        <w:t>,</w:t>
      </w:r>
      <w:r w:rsidR="00BB183C">
        <w:t xml:space="preserve"> regroupées en 13 directions régionales</w:t>
      </w:r>
      <w:r w:rsidR="006838B8">
        <w:t> ; elles sont</w:t>
      </w:r>
      <w:r>
        <w:t xml:space="preserve"> en charge notamment </w:t>
      </w:r>
      <w:r>
        <w:lastRenderedPageBreak/>
        <w:t>des questions de</w:t>
      </w:r>
      <w:r w:rsidR="00030A2F">
        <w:t xml:space="preserve"> notations des entreprises, des </w:t>
      </w:r>
      <w:r w:rsidR="002B6EF4">
        <w:t xml:space="preserve">situations de </w:t>
      </w:r>
      <w:r>
        <w:t>surendettement</w:t>
      </w:r>
      <w:r w:rsidR="00030A2F">
        <w:t>s</w:t>
      </w:r>
      <w:r w:rsidR="00D345DE">
        <w:t xml:space="preserve"> et des </w:t>
      </w:r>
      <w:r w:rsidR="00AD55DF">
        <w:t xml:space="preserve">soutiens </w:t>
      </w:r>
      <w:r w:rsidR="003870F1">
        <w:t xml:space="preserve">logistiques </w:t>
      </w:r>
      <w:r w:rsidR="00AD55DF">
        <w:t xml:space="preserve">aux </w:t>
      </w:r>
      <w:r w:rsidR="00183284">
        <w:t>« </w:t>
      </w:r>
      <w:r w:rsidR="00D345DE">
        <w:t>CODEFI</w:t>
      </w:r>
      <w:r w:rsidR="00183284">
        <w:t> »</w:t>
      </w:r>
      <w:r w:rsidR="003870F1">
        <w:t xml:space="preserve"> (« Comité Départemental d’Examen des problèmes de Financement des Entreprises »)</w:t>
      </w:r>
      <w:r w:rsidR="00592CC2">
        <w:t xml:space="preserve">. La proximité </w:t>
      </w:r>
      <w:r w:rsidR="00BB183C">
        <w:t xml:space="preserve">traditionnelle </w:t>
      </w:r>
      <w:r w:rsidR="00592CC2">
        <w:t xml:space="preserve">de cette </w:t>
      </w:r>
      <w:r w:rsidR="00E934C3">
        <w:t xml:space="preserve">remarquable </w:t>
      </w:r>
      <w:r w:rsidR="009B5F0D">
        <w:t>« </w:t>
      </w:r>
      <w:r w:rsidR="00592CC2">
        <w:t>institution</w:t>
      </w:r>
      <w:r w:rsidR="009B5F0D">
        <w:t xml:space="preserve"> de confiance »</w:t>
      </w:r>
      <w:r w:rsidR="00592CC2">
        <w:t xml:space="preserve"> avec le terrain</w:t>
      </w:r>
      <w:r w:rsidR="008C0ABF">
        <w:t xml:space="preserve"> </w:t>
      </w:r>
      <w:r w:rsidR="00842AB6">
        <w:t xml:space="preserve">économique et social </w:t>
      </w:r>
      <w:r w:rsidR="00E94F07">
        <w:t xml:space="preserve">des régions </w:t>
      </w:r>
      <w:r w:rsidR="00592CC2">
        <w:t xml:space="preserve">a été jusqu’ici sauvegardé, en dépit des pressions </w:t>
      </w:r>
      <w:r w:rsidR="008A2E81">
        <w:t xml:space="preserve">productivistes </w:t>
      </w:r>
      <w:r w:rsidR="00592CC2">
        <w:t xml:space="preserve">exercées depuis </w:t>
      </w:r>
      <w:r w:rsidR="00842AB6">
        <w:t>plus d’</w:t>
      </w:r>
      <w:r w:rsidR="00592CC2">
        <w:t>une vingtaine d’années</w:t>
      </w:r>
      <w:r w:rsidR="009B5F0D">
        <w:t>, y compris par la Cour des Comptes</w:t>
      </w:r>
      <w:r w:rsidR="00592CC2">
        <w:t>.</w:t>
      </w:r>
      <w:r w:rsidR="0056157E">
        <w:t xml:space="preserve"> De son côté</w:t>
      </w:r>
      <w:r w:rsidR="00BB183C">
        <w:t xml:space="preserve">, la Buba dispose de 18 </w:t>
      </w:r>
      <w:r w:rsidR="0056157E">
        <w:t xml:space="preserve">« filiales » </w:t>
      </w:r>
      <w:r w:rsidR="00BB183C">
        <w:t xml:space="preserve">principales </w:t>
      </w:r>
      <w:r w:rsidR="0056157E">
        <w:t>dans les Länder</w:t>
      </w:r>
      <w:r w:rsidR="00BB183C">
        <w:t xml:space="preserve"> avec un peu plus de 2</w:t>
      </w:r>
      <w:r w:rsidR="006838B8">
        <w:t>.</w:t>
      </w:r>
      <w:r w:rsidR="00BB183C">
        <w:t>400 agents</w:t>
      </w:r>
      <w:r w:rsidR="0056157E">
        <w:t>.</w:t>
      </w:r>
    </w:p>
    <w:p w14:paraId="6CDA395A" w14:textId="77777777" w:rsidR="008B78E8" w:rsidRDefault="008B78E8" w:rsidP="008B78E8">
      <w:pPr>
        <w:jc w:val="both"/>
      </w:pPr>
    </w:p>
    <w:p w14:paraId="3B652E69" w14:textId="7369EB86" w:rsidR="00312921" w:rsidRDefault="00312921" w:rsidP="00E82199">
      <w:pPr>
        <w:pStyle w:val="Paragraphedeliste"/>
        <w:numPr>
          <w:ilvl w:val="0"/>
          <w:numId w:val="2"/>
        </w:numPr>
        <w:jc w:val="both"/>
      </w:pPr>
      <w:r>
        <w:t xml:space="preserve">Dans le cadre des mesures de type </w:t>
      </w:r>
      <w:r w:rsidR="00592CC2">
        <w:t>« </w:t>
      </w:r>
      <w:r>
        <w:t>QE</w:t>
      </w:r>
      <w:r w:rsidR="00592CC2">
        <w:t> »</w:t>
      </w:r>
      <w:r w:rsidR="006838B8">
        <w:t xml:space="preserve"> (« Quantitative Easing »)</w:t>
      </w:r>
      <w:r>
        <w:t xml:space="preserve">, la Banque de France a </w:t>
      </w:r>
      <w:r w:rsidR="00D7395C">
        <w:t xml:space="preserve">massivement </w:t>
      </w:r>
      <w:r>
        <w:t>acheté des lignes d’obligations qui ont considérablement augmenté le</w:t>
      </w:r>
      <w:r w:rsidR="00592CC2">
        <w:t xml:space="preserve"> total de son bilan, comme c’est également le cas</w:t>
      </w:r>
      <w:r w:rsidR="00EE741D">
        <w:t xml:space="preserve"> de la Bundesbank </w:t>
      </w:r>
      <w:r>
        <w:t>et des autres banques centrales</w:t>
      </w:r>
      <w:r w:rsidR="008A2E81">
        <w:t xml:space="preserve"> des pays à économies développées,</w:t>
      </w:r>
      <w:r w:rsidR="00E82199">
        <w:t xml:space="preserve"> </w:t>
      </w:r>
      <w:r w:rsidR="00196B1F">
        <w:t xml:space="preserve">à la </w:t>
      </w:r>
      <w:r w:rsidR="00E82199">
        <w:t xml:space="preserve">suite à la crise </w:t>
      </w:r>
      <w:r w:rsidR="008A2E81">
        <w:t xml:space="preserve">financière </w:t>
      </w:r>
      <w:r w:rsidR="00D345DE">
        <w:t>d’hyper</w:t>
      </w:r>
      <w:r w:rsidR="00CA23DD">
        <w:t>-</w:t>
      </w:r>
      <w:r w:rsidR="00D345DE">
        <w:t xml:space="preserve">spéculation dite </w:t>
      </w:r>
      <w:r w:rsidR="00E82199">
        <w:t>des « subprimes » de 2008.</w:t>
      </w:r>
      <w:r w:rsidR="009B5F0D">
        <w:t xml:space="preserve"> </w:t>
      </w:r>
      <w:r w:rsidR="00451C29">
        <w:t xml:space="preserve"> </w:t>
      </w:r>
      <w:r w:rsidR="00097263">
        <w:t xml:space="preserve">De ce fait, les banques centrales figurent parmi les principaux détenteurs des dettes publiques. </w:t>
      </w:r>
      <w:r w:rsidR="00451C29">
        <w:t>A la suite de 7 programmes successifs</w:t>
      </w:r>
      <w:r w:rsidR="00ED2114">
        <w:t xml:space="preserve"> de rachats</w:t>
      </w:r>
      <w:r w:rsidR="00451C29">
        <w:t>, s</w:t>
      </w:r>
      <w:r w:rsidR="009B5F0D">
        <w:t>on bilan s’élève actuellement à un trillion € environ</w:t>
      </w:r>
      <w:r w:rsidR="00F160F1">
        <w:t xml:space="preserve"> (</w:t>
      </w:r>
      <w:r w:rsidR="00B034E2">
        <w:t xml:space="preserve">contre </w:t>
      </w:r>
      <w:r w:rsidR="00F160F1">
        <w:t>1,2 trillions € pour la Buba)</w:t>
      </w:r>
      <w:r w:rsidR="009B5F0D">
        <w:t xml:space="preserve"> dont plus de 500 milliards</w:t>
      </w:r>
      <w:r w:rsidR="00F160F1">
        <w:t xml:space="preserve"> € (</w:t>
      </w:r>
      <w:r w:rsidR="00B034E2">
        <w:t xml:space="preserve">contre </w:t>
      </w:r>
      <w:r w:rsidR="00F160F1">
        <w:t xml:space="preserve">750 milliards € pour la Buba) </w:t>
      </w:r>
      <w:r w:rsidR="009B5F0D">
        <w:t>de titres détenus dans le cadre de la politique monétaire européenne</w:t>
      </w:r>
      <w:r w:rsidR="00A40063">
        <w:t xml:space="preserve"> organisée </w:t>
      </w:r>
      <w:r w:rsidR="00385452">
        <w:t xml:space="preserve">depuis une décennie </w:t>
      </w:r>
      <w:r w:rsidR="00A40063">
        <w:t xml:space="preserve">par la </w:t>
      </w:r>
      <w:r w:rsidR="00183284">
        <w:t>« </w:t>
      </w:r>
      <w:r w:rsidR="00A40063">
        <w:t>BCE</w:t>
      </w:r>
      <w:r w:rsidR="00183284">
        <w:t> »</w:t>
      </w:r>
      <w:r w:rsidR="009B5F0D">
        <w:t>.</w:t>
      </w:r>
      <w:r w:rsidR="00A40063">
        <w:t xml:space="preserve"> Ces opérations</w:t>
      </w:r>
      <w:r w:rsidR="00451C29">
        <w:t xml:space="preserve"> font l’objet de partages de risques ave</w:t>
      </w:r>
      <w:r w:rsidR="00B034E2">
        <w:t xml:space="preserve">c la </w:t>
      </w:r>
      <w:r w:rsidR="00183284">
        <w:t>« </w:t>
      </w:r>
      <w:r w:rsidR="00B034E2">
        <w:t>BCE</w:t>
      </w:r>
      <w:r w:rsidR="00183284">
        <w:t> »</w:t>
      </w:r>
      <w:r w:rsidR="00B034E2">
        <w:t xml:space="preserve"> qui </w:t>
      </w:r>
      <w:r w:rsidR="00A40063">
        <w:t>ont varié</w:t>
      </w:r>
      <w:r w:rsidR="00B034E2">
        <w:t xml:space="preserve"> suivant chaque</w:t>
      </w:r>
      <w:r w:rsidR="00451C29">
        <w:t xml:space="preserve"> programm</w:t>
      </w:r>
      <w:r w:rsidR="00B034E2">
        <w:t>e concerné</w:t>
      </w:r>
      <w:r w:rsidR="00A40063">
        <w:t>. Ces interventions</w:t>
      </w:r>
      <w:r w:rsidR="00E94F07">
        <w:t xml:space="preserve"> massives</w:t>
      </w:r>
      <w:r w:rsidR="003E0A4D">
        <w:t xml:space="preserve"> ont</w:t>
      </w:r>
      <w:r w:rsidR="00E94F07">
        <w:t xml:space="preserve"> inspiré</w:t>
      </w:r>
      <w:r w:rsidR="004621FE">
        <w:t xml:space="preserve"> depuis 2008</w:t>
      </w:r>
      <w:r w:rsidR="00E94F07">
        <w:t xml:space="preserve"> </w:t>
      </w:r>
      <w:r w:rsidR="00B034E2">
        <w:t xml:space="preserve">des pratiques </w:t>
      </w:r>
      <w:r w:rsidR="00E94F07">
        <w:t>d’outre-Atlantique</w:t>
      </w:r>
      <w:r w:rsidR="008A4796">
        <w:t xml:space="preserve"> prônées par le</w:t>
      </w:r>
      <w:r w:rsidR="00ED2114">
        <w:t xml:space="preserve"> président</w:t>
      </w:r>
      <w:r w:rsidR="006838B8">
        <w:t xml:space="preserve"> </w:t>
      </w:r>
      <w:r w:rsidR="00ED2114">
        <w:t xml:space="preserve">de la </w:t>
      </w:r>
      <w:r w:rsidR="003870F1">
        <w:t>« </w:t>
      </w:r>
      <w:r w:rsidR="00ED2114">
        <w:t>Fed</w:t>
      </w:r>
      <w:r w:rsidR="003870F1">
        <w:t> »</w:t>
      </w:r>
      <w:r w:rsidR="00ED2114">
        <w:t>,</w:t>
      </w:r>
      <w:r w:rsidR="00DB3C24">
        <w:t xml:space="preserve"> </w:t>
      </w:r>
      <w:r w:rsidR="00376CA3">
        <w:t xml:space="preserve">le professeur </w:t>
      </w:r>
      <w:r w:rsidR="00DB3C24">
        <w:t>Ben Bernanke</w:t>
      </w:r>
      <w:r w:rsidR="00ED2114">
        <w:t>,</w:t>
      </w:r>
      <w:r w:rsidR="00253238">
        <w:t xml:space="preserve"> spécialiste des conséquences du jeudi noir de 1929 ; ces créations monétaires ex nihilo</w:t>
      </w:r>
      <w:r w:rsidR="00196B1F">
        <w:t xml:space="preserve"> ont alimenté de nouvelles formes de</w:t>
      </w:r>
      <w:r w:rsidR="00ED2114">
        <w:t xml:space="preserve"> spéculation</w:t>
      </w:r>
      <w:r w:rsidR="003870F1">
        <w:t>s</w:t>
      </w:r>
      <w:r w:rsidR="00ED2114">
        <w:t>, tout en étant</w:t>
      </w:r>
      <w:r w:rsidR="00E94F07">
        <w:t xml:space="preserve"> </w:t>
      </w:r>
      <w:r w:rsidR="008A4796">
        <w:t xml:space="preserve">s’avérant </w:t>
      </w:r>
      <w:r w:rsidR="00E94F07">
        <w:t>peu orthodoxes au niveau du contrôl</w:t>
      </w:r>
      <w:r w:rsidR="00DB3C24">
        <w:t xml:space="preserve">e de l’intégralité de la courbe </w:t>
      </w:r>
      <w:r w:rsidR="00E94F07">
        <w:t>des taux</w:t>
      </w:r>
      <w:r w:rsidR="00FD7D9B">
        <w:t xml:space="preserve"> d’intérêt à court, moyen et long terme</w:t>
      </w:r>
      <w:r w:rsidR="00A40063">
        <w:t xml:space="preserve"> (politique de « yield curve control »)</w:t>
      </w:r>
      <w:r w:rsidR="00E94F07">
        <w:t xml:space="preserve">. Les scenarii de sorties </w:t>
      </w:r>
      <w:r w:rsidR="00DB3C24">
        <w:t xml:space="preserve">de cette </w:t>
      </w:r>
      <w:r w:rsidR="00ED2114">
        <w:t xml:space="preserve">puissante </w:t>
      </w:r>
      <w:r w:rsidR="00DB3C24">
        <w:t>thérapeutique « anti-dépressive »</w:t>
      </w:r>
      <w:r w:rsidR="005228DA">
        <w:t xml:space="preserve">, si elle devenait </w:t>
      </w:r>
      <w:r w:rsidR="002D4B0E">
        <w:t xml:space="preserve">un jour </w:t>
      </w:r>
      <w:r w:rsidR="005228DA">
        <w:t>d’actualité,</w:t>
      </w:r>
      <w:r w:rsidR="00DB3C24">
        <w:t xml:space="preserve"> </w:t>
      </w:r>
      <w:r w:rsidR="00E94F07">
        <w:t>font d’ailleurs l’objet de vifs débats</w:t>
      </w:r>
      <w:r w:rsidR="00085450">
        <w:t>,</w:t>
      </w:r>
      <w:r w:rsidR="00E94F07">
        <w:t xml:space="preserve"> ainsi que l’usage effectif des fonds </w:t>
      </w:r>
      <w:r w:rsidR="00DB3C24">
        <w:t xml:space="preserve">correspondants </w:t>
      </w:r>
      <w:r w:rsidR="00E94F07">
        <w:t xml:space="preserve">au service de l’économie réelle. </w:t>
      </w:r>
      <w:r w:rsidR="00D34779">
        <w:t>Un</w:t>
      </w:r>
      <w:r w:rsidR="006838B8">
        <w:t xml:space="preserve"> sevrage financier </w:t>
      </w:r>
      <w:r w:rsidR="00D34779">
        <w:t>brutal</w:t>
      </w:r>
      <w:r w:rsidR="00183284">
        <w:t xml:space="preserve"> de ces mesures monétaires</w:t>
      </w:r>
      <w:r w:rsidR="00D34779">
        <w:t xml:space="preserve"> </w:t>
      </w:r>
      <w:r w:rsidR="006838B8">
        <w:t>ne paraît pas moins hasardeux</w:t>
      </w:r>
      <w:r w:rsidR="00FD7D9B">
        <w:t xml:space="preserve">, pour ne pas dire </w:t>
      </w:r>
      <w:r w:rsidR="008A4796">
        <w:t xml:space="preserve">moins </w:t>
      </w:r>
      <w:r w:rsidR="00FD7D9B">
        <w:t>périlleux</w:t>
      </w:r>
      <w:r w:rsidR="00D34779">
        <w:t>, que celui qu’évitent</w:t>
      </w:r>
      <w:r w:rsidR="006838B8">
        <w:t xml:space="preserve"> les psychiatres en cas d’abus durables de psychotropes</w:t>
      </w:r>
      <w:r w:rsidR="00FD7D9B">
        <w:t>…</w:t>
      </w:r>
      <w:r w:rsidR="006838B8">
        <w:t xml:space="preserve"> </w:t>
      </w:r>
      <w:r w:rsidR="004621FE">
        <w:t>Aucune solution viable ne paraît aujourd’hui faire consensus</w:t>
      </w:r>
      <w:r w:rsidR="008C0ABF">
        <w:t xml:space="preserve"> pour o</w:t>
      </w:r>
      <w:r w:rsidR="002D4B0E">
        <w:t xml:space="preserve">rganiser la sortie par le haut </w:t>
      </w:r>
      <w:r w:rsidR="008C0ABF">
        <w:t>du cercle vicieux organisé</w:t>
      </w:r>
      <w:r w:rsidR="00D34779">
        <w:t xml:space="preserve"> dans l’urgence mais</w:t>
      </w:r>
      <w:r w:rsidR="006838B8">
        <w:t xml:space="preserve"> maintenu</w:t>
      </w:r>
      <w:r w:rsidR="008C0ABF">
        <w:t xml:space="preserve"> par les a</w:t>
      </w:r>
      <w:r w:rsidR="006838B8">
        <w:t>utorités monétaires des économies développées</w:t>
      </w:r>
      <w:r w:rsidR="002D4B0E">
        <w:t xml:space="preserve"> depuis plus de dix ans</w:t>
      </w:r>
      <w:r w:rsidR="00253238">
        <w:t xml:space="preserve"> : </w:t>
      </w:r>
      <w:r w:rsidR="00E5100D">
        <w:t>un</w:t>
      </w:r>
      <w:r w:rsidR="00253238">
        <w:t xml:space="preserve"> stat</w:t>
      </w:r>
      <w:r w:rsidR="00D02A45">
        <w:t>u</w:t>
      </w:r>
      <w:r w:rsidR="00C97942">
        <w:t xml:space="preserve"> </w:t>
      </w:r>
      <w:r w:rsidR="00253238">
        <w:t>quo</w:t>
      </w:r>
      <w:r w:rsidR="00D7395C">
        <w:t>,</w:t>
      </w:r>
      <w:r w:rsidR="00253238">
        <w:t xml:space="preserve"> </w:t>
      </w:r>
      <w:r w:rsidR="00D7395C">
        <w:t xml:space="preserve">certes </w:t>
      </w:r>
      <w:r w:rsidR="00376CA3">
        <w:t xml:space="preserve">confortable </w:t>
      </w:r>
      <w:r w:rsidR="00D7395C">
        <w:t xml:space="preserve">au plan diplomatique, </w:t>
      </w:r>
      <w:r w:rsidR="00253238">
        <w:t>entretient la p</w:t>
      </w:r>
      <w:r w:rsidR="00376CA3">
        <w:t>é</w:t>
      </w:r>
      <w:r w:rsidR="00253238">
        <w:t>rennité de la pensée unique…et réciproquement !</w:t>
      </w:r>
    </w:p>
    <w:p w14:paraId="78D197DD" w14:textId="77777777" w:rsidR="008B78E8" w:rsidRDefault="008B78E8" w:rsidP="008B78E8">
      <w:pPr>
        <w:jc w:val="both"/>
      </w:pPr>
    </w:p>
    <w:p w14:paraId="33B2581F" w14:textId="304E07A8" w:rsidR="00312921" w:rsidRDefault="006838B8" w:rsidP="00E82199">
      <w:pPr>
        <w:pStyle w:val="Paragraphedeliste"/>
        <w:numPr>
          <w:ilvl w:val="0"/>
          <w:numId w:val="2"/>
        </w:numPr>
        <w:jc w:val="both"/>
      </w:pPr>
      <w:r>
        <w:t>Dans ce contexte</w:t>
      </w:r>
      <w:r w:rsidR="00253238">
        <w:t xml:space="preserve"> de soutiens inconditionnels aux marchés financiers inondés de dettes souveraines</w:t>
      </w:r>
      <w:r w:rsidR="00D7395C">
        <w:t xml:space="preserve"> et privées</w:t>
      </w:r>
      <w:r>
        <w:t>, il</w:t>
      </w:r>
      <w:r w:rsidR="007E210C">
        <w:t xml:space="preserve"> </w:t>
      </w:r>
      <w:r>
        <w:t>paraît</w:t>
      </w:r>
      <w:r w:rsidR="00EE741D">
        <w:t xml:space="preserve"> </w:t>
      </w:r>
      <w:r w:rsidR="00D345DE">
        <w:t xml:space="preserve">aujourd’hui </w:t>
      </w:r>
      <w:r w:rsidR="004621FE">
        <w:t>souhaitable</w:t>
      </w:r>
      <w:r w:rsidR="007E210C">
        <w:t xml:space="preserve"> </w:t>
      </w:r>
      <w:r w:rsidR="007D33DB">
        <w:t xml:space="preserve">que les </w:t>
      </w:r>
      <w:r>
        <w:t xml:space="preserve">principales </w:t>
      </w:r>
      <w:r w:rsidR="007D33DB">
        <w:t>banques centrales</w:t>
      </w:r>
      <w:r>
        <w:t xml:space="preserve"> de la zone euro</w:t>
      </w:r>
      <w:r w:rsidR="007E210C">
        <w:t xml:space="preserve"> prenne</w:t>
      </w:r>
      <w:r w:rsidR="007D33DB">
        <w:t>nt</w:t>
      </w:r>
      <w:r w:rsidR="007E210C">
        <w:t xml:space="preserve"> l’initiative d’</w:t>
      </w:r>
      <w:r w:rsidR="00312921">
        <w:t>émett</w:t>
      </w:r>
      <w:r w:rsidR="00D345DE">
        <w:t>r</w:t>
      </w:r>
      <w:r w:rsidR="00312921">
        <w:t>e en urgence</w:t>
      </w:r>
      <w:r w:rsidR="00D345DE">
        <w:t>, directement ou par l’inte</w:t>
      </w:r>
      <w:r w:rsidR="00E934C3">
        <w:t>r</w:t>
      </w:r>
      <w:r w:rsidR="00D345DE">
        <w:t>médiaire d’une filiale spécialisée</w:t>
      </w:r>
      <w:r w:rsidR="00DB3C24">
        <w:t xml:space="preserve"> « ad hoc »</w:t>
      </w:r>
      <w:r w:rsidR="00D345DE">
        <w:t>,</w:t>
      </w:r>
      <w:r w:rsidR="0006254C">
        <w:t xml:space="preserve"> un t</w:t>
      </w:r>
      <w:r w:rsidR="00196B1F">
        <w:t xml:space="preserve">itre </w:t>
      </w:r>
      <w:r w:rsidR="0006254C">
        <w:t>p</w:t>
      </w:r>
      <w:r w:rsidR="00196B1F">
        <w:t>articipatif</w:t>
      </w:r>
      <w:r w:rsidR="00EE741D">
        <w:t xml:space="preserve"> global</w:t>
      </w:r>
      <w:r w:rsidR="00071873">
        <w:t xml:space="preserve">, ou tout </w:t>
      </w:r>
      <w:r w:rsidR="00E94F07">
        <w:t xml:space="preserve">autre type de titre </w:t>
      </w:r>
      <w:r w:rsidR="00071873">
        <w:t xml:space="preserve">hybride ou </w:t>
      </w:r>
      <w:r w:rsidR="00E94F07">
        <w:t>subordonné</w:t>
      </w:r>
      <w:r w:rsidR="007E210C">
        <w:t xml:space="preserve"> (« TP</w:t>
      </w:r>
      <w:r w:rsidR="00071873">
        <w:t>, TH</w:t>
      </w:r>
      <w:r w:rsidR="00E94F07">
        <w:t xml:space="preserve"> ou TS </w:t>
      </w:r>
      <w:r w:rsidR="00071873">
        <w:t>-</w:t>
      </w:r>
      <w:r w:rsidR="00A96EFD">
        <w:t xml:space="preserve"> </w:t>
      </w:r>
      <w:r w:rsidR="007E210C">
        <w:t xml:space="preserve">Banque de </w:t>
      </w:r>
      <w:r w:rsidR="004621FE">
        <w:t>France ou Buba</w:t>
      </w:r>
      <w:r w:rsidR="007E210C">
        <w:t> »)</w:t>
      </w:r>
      <w:r w:rsidR="00EE741D">
        <w:t>,</w:t>
      </w:r>
      <w:r w:rsidR="00312921">
        <w:t xml:space="preserve"> </w:t>
      </w:r>
      <w:r w:rsidR="00D345DE">
        <w:t xml:space="preserve">susceptible d’être </w:t>
      </w:r>
      <w:r w:rsidR="00BE373D">
        <w:t>coté</w:t>
      </w:r>
      <w:r w:rsidR="00EE741D">
        <w:t xml:space="preserve"> </w:t>
      </w:r>
      <w:r>
        <w:t>sur les bourses internationales</w:t>
      </w:r>
      <w:r w:rsidR="00030A2F">
        <w:t>.</w:t>
      </w:r>
      <w:r>
        <w:t xml:space="preserve"> </w:t>
      </w:r>
      <w:r w:rsidR="00E02BC4">
        <w:t>Ces instruments financiers n’ont rien à voir avec le</w:t>
      </w:r>
      <w:r w:rsidR="00C0633E">
        <w:t> « </w:t>
      </w:r>
      <w:r w:rsidR="00E02BC4">
        <w:t>prêt participatif</w:t>
      </w:r>
      <w:r w:rsidR="00C0633E">
        <w:t> »</w:t>
      </w:r>
      <w:r w:rsidR="00E02BC4">
        <w:t>,</w:t>
      </w:r>
      <w:r w:rsidR="00144E55">
        <w:t xml:space="preserve"> d’une durée limitée (7 ans)</w:t>
      </w:r>
      <w:r w:rsidR="00E02BC4">
        <w:t xml:space="preserve"> abusivement assimilé aux fonds propres des entreprises</w:t>
      </w:r>
      <w:r w:rsidR="00C0633E">
        <w:t> ; cette dernière formule a</w:t>
      </w:r>
      <w:r w:rsidR="00E02BC4">
        <w:t xml:space="preserve"> la faveur, pour des raisons règlementaires hexagonales, de la BPI</w:t>
      </w:r>
      <w:r w:rsidR="00C0633E">
        <w:t xml:space="preserve"> qui ne jouit pas du statut bancaire en dépit de son nom</w:t>
      </w:r>
      <w:r w:rsidR="00E02BC4">
        <w:t xml:space="preserve">. </w:t>
      </w:r>
      <w:r>
        <w:t>Dans l’environnement de crise actuelle, il pourrait s’agir</w:t>
      </w:r>
      <w:r w:rsidR="00E647B7">
        <w:t xml:space="preserve"> d’</w:t>
      </w:r>
      <w:r w:rsidR="008A2E81">
        <w:t>u</w:t>
      </w:r>
      <w:r w:rsidR="00E02BC4">
        <w:t>ne émissio</w:t>
      </w:r>
      <w:r w:rsidR="00C0633E">
        <w:t>n totale</w:t>
      </w:r>
      <w:r w:rsidR="008A2E81">
        <w:t xml:space="preserve"> d</w:t>
      </w:r>
      <w:r w:rsidR="00312921">
        <w:t>e l’ordre de 100 mds</w:t>
      </w:r>
      <w:r w:rsidR="00BE373D">
        <w:t xml:space="preserve"> </w:t>
      </w:r>
      <w:r w:rsidR="008A2E81">
        <w:t>€,</w:t>
      </w:r>
      <w:r w:rsidR="00EE741D">
        <w:t xml:space="preserve"> </w:t>
      </w:r>
      <w:r w:rsidR="00312921">
        <w:t>à échéance</w:t>
      </w:r>
      <w:r w:rsidR="00451C29">
        <w:t>s</w:t>
      </w:r>
      <w:r w:rsidR="00312921">
        <w:t xml:space="preserve"> longue</w:t>
      </w:r>
      <w:r w:rsidR="00451C29">
        <w:t>s</w:t>
      </w:r>
      <w:r w:rsidR="00E647B7">
        <w:t>,</w:t>
      </w:r>
      <w:r w:rsidR="00B03301">
        <w:t xml:space="preserve"> pour la Banque de </w:t>
      </w:r>
      <w:r w:rsidR="00030A2F">
        <w:t>France,</w:t>
      </w:r>
      <w:r w:rsidR="00186426">
        <w:t xml:space="preserve"> </w:t>
      </w:r>
      <w:r w:rsidR="00385452">
        <w:t>mais</w:t>
      </w:r>
      <w:r w:rsidR="00EC783D">
        <w:t xml:space="preserve"> </w:t>
      </w:r>
      <w:r w:rsidR="00186426">
        <w:t xml:space="preserve">de 50 milliards € </w:t>
      </w:r>
      <w:r w:rsidR="00D9321A">
        <w:t>seulement</w:t>
      </w:r>
      <w:r w:rsidR="004621FE">
        <w:t xml:space="preserve"> </w:t>
      </w:r>
      <w:r w:rsidR="00186426">
        <w:t>pour la Buba</w:t>
      </w:r>
      <w:r w:rsidR="00E647B7">
        <w:t xml:space="preserve">. </w:t>
      </w:r>
      <w:r w:rsidR="007E7190">
        <w:t xml:space="preserve">La banque centrale allemande </w:t>
      </w:r>
      <w:r w:rsidR="00E02BC4">
        <w:t xml:space="preserve">« ne </w:t>
      </w:r>
      <w:r w:rsidR="007E7190">
        <w:t xml:space="preserve">prévoit </w:t>
      </w:r>
      <w:r w:rsidR="00E02BC4">
        <w:t xml:space="preserve">que » </w:t>
      </w:r>
      <w:r w:rsidR="007E7190">
        <w:t xml:space="preserve">6 000 faillites environ au </w:t>
      </w:r>
      <w:r w:rsidR="007E7190">
        <w:lastRenderedPageBreak/>
        <w:t xml:space="preserve">premier trimestre 2021 dans son rapport sur la stabilité monétaire d’octobre. </w:t>
      </w:r>
      <w:r w:rsidR="00144E55">
        <w:t>Ces montants globaux doivent être appréciés de façon prospective au vu des coûts de la transition écologique</w:t>
      </w:r>
      <w:r w:rsidR="00C97942">
        <w:t>, de la mutation technologique</w:t>
      </w:r>
      <w:r w:rsidR="00144E55">
        <w:t xml:space="preserve"> et des investissements de relocalisation </w:t>
      </w:r>
      <w:r w:rsidR="00C97942">
        <w:t xml:space="preserve">dont </w:t>
      </w:r>
      <w:r w:rsidR="00144E55">
        <w:t>on ne saurait sous-estimer</w:t>
      </w:r>
      <w:r w:rsidR="00C97942">
        <w:t xml:space="preserve"> l’ampleur et l’urgence</w:t>
      </w:r>
      <w:r w:rsidR="00144E55">
        <w:t xml:space="preserve">. </w:t>
      </w:r>
      <w:r w:rsidR="006D2FF2">
        <w:t>La recomposition en cours de la chaine logistique transnationale constitue en enjeu de sécurité et de souveraineté pour l’Europe.</w:t>
      </w:r>
      <w:r w:rsidR="004E7D18">
        <w:t xml:space="preserve">En France, ce projet </w:t>
      </w:r>
      <w:r w:rsidR="00C97942">
        <w:t>ambitieux</w:t>
      </w:r>
      <w:r w:rsidR="004E7D18">
        <w:t xml:space="preserve"> viendra au secours des financements laborieux des « Programmes d’Investissements d’Avenir</w:t>
      </w:r>
      <w:r w:rsidR="00D02A45">
        <w:t> »</w:t>
      </w:r>
      <w:r w:rsidR="004E7D18">
        <w:t xml:space="preserve"> (« PIA »)</w:t>
      </w:r>
      <w:r w:rsidR="006B3AB3">
        <w:t xml:space="preserve"> d’inspiration publique,</w:t>
      </w:r>
      <w:r w:rsidR="004E7D18">
        <w:t xml:space="preserve"> suggérés </w:t>
      </w:r>
      <w:r w:rsidR="00D02A45">
        <w:t xml:space="preserve">il y a quelques années </w:t>
      </w:r>
      <w:r w:rsidR="004E7D18">
        <w:t>par le rapport Pisani-Ferry</w:t>
      </w:r>
      <w:r w:rsidR="006B3AB3">
        <w:t xml:space="preserve"> (« Grand Plan d’Investissements 2018-2022 »)</w:t>
      </w:r>
      <w:r w:rsidR="004E7D18">
        <w:t xml:space="preserve">. </w:t>
      </w:r>
      <w:r w:rsidR="00FD7D9B">
        <w:t xml:space="preserve">Les </w:t>
      </w:r>
      <w:r w:rsidR="00D9321A">
        <w:t>« </w:t>
      </w:r>
      <w:r w:rsidR="00FD7D9B">
        <w:t>ETI</w:t>
      </w:r>
      <w:r w:rsidR="00D9321A">
        <w:t> »</w:t>
      </w:r>
      <w:r w:rsidR="00FD7D9B">
        <w:t xml:space="preserve"> françaises</w:t>
      </w:r>
      <w:r w:rsidR="00073869">
        <w:t xml:space="preserve"> </w:t>
      </w:r>
      <w:r w:rsidR="00FD7D9B">
        <w:t xml:space="preserve">bénéficieront ainsi d’un </w:t>
      </w:r>
      <w:r w:rsidR="00D02A45">
        <w:t>puissant</w:t>
      </w:r>
      <w:r w:rsidR="00E02BC4">
        <w:t xml:space="preserve"> et indispensable</w:t>
      </w:r>
      <w:r w:rsidR="00D02A45">
        <w:t xml:space="preserve"> </w:t>
      </w:r>
      <w:r w:rsidR="00FD7D9B">
        <w:t>effet de ra</w:t>
      </w:r>
      <w:r w:rsidR="00D9321A">
        <w:t>ttrapage</w:t>
      </w:r>
      <w:r w:rsidR="00D02A45">
        <w:t>,</w:t>
      </w:r>
      <w:r w:rsidR="00D9321A">
        <w:t xml:space="preserve"> bienvenu par rapport à leurs homologues</w:t>
      </w:r>
      <w:r w:rsidR="00D34779">
        <w:t xml:space="preserve"> du « Mittelstand »</w:t>
      </w:r>
      <w:r w:rsidR="00D02A45">
        <w:t> ; ceux-ci</w:t>
      </w:r>
      <w:r w:rsidR="00D34779">
        <w:t xml:space="preserve"> ont</w:t>
      </w:r>
      <w:r w:rsidR="00D9321A">
        <w:t xml:space="preserve"> bénéficié d’un plan massif de renforcements de leurs fonds propres</w:t>
      </w:r>
      <w:r w:rsidR="00D34779">
        <w:t xml:space="preserve"> depuis mars 2020</w:t>
      </w:r>
      <w:r w:rsidR="00D9321A">
        <w:t xml:space="preserve">. </w:t>
      </w:r>
      <w:r w:rsidR="00073869">
        <w:t xml:space="preserve">Les quantums nécessaires </w:t>
      </w:r>
      <w:r w:rsidR="00D22229">
        <w:t xml:space="preserve">et les rendements attendus </w:t>
      </w:r>
      <w:r w:rsidR="00073869">
        <w:t xml:space="preserve">doivent être </w:t>
      </w:r>
      <w:r w:rsidR="00B16343">
        <w:t>examinés</w:t>
      </w:r>
      <w:r w:rsidR="00073869">
        <w:t xml:space="preserve"> au regard du coût et du rythme de la transition écologique souhaitée</w:t>
      </w:r>
      <w:r w:rsidR="00144E55">
        <w:t>, laquelle induira une modération de la rentabilité à court terme</w:t>
      </w:r>
      <w:r w:rsidR="00B16343">
        <w:t xml:space="preserve">. </w:t>
      </w:r>
      <w:r w:rsidR="00073869">
        <w:t xml:space="preserve">Les situations de départ et les objectifs visés sont </w:t>
      </w:r>
      <w:r w:rsidR="00B16343">
        <w:t xml:space="preserve">bien </w:t>
      </w:r>
      <w:r w:rsidR="00073869">
        <w:t>différents de part et d’autre du Rhin.</w:t>
      </w:r>
      <w:r w:rsidR="008B78E8">
        <w:t xml:space="preserve"> </w:t>
      </w:r>
      <w:r w:rsidR="00E647B7">
        <w:t>Selon les experts,</w:t>
      </w:r>
      <w:r w:rsidR="00D345DE">
        <w:t xml:space="preserve"> </w:t>
      </w:r>
      <w:r w:rsidR="00451C29">
        <w:t>3 tranches à remboursement final</w:t>
      </w:r>
      <w:r w:rsidR="006B3AB3">
        <w:t>)</w:t>
      </w:r>
      <w:r w:rsidR="00451C29">
        <w:t xml:space="preserve"> de 10, 20 et 30</w:t>
      </w:r>
      <w:r w:rsidR="00D345DE">
        <w:t xml:space="preserve"> ans correspondraient</w:t>
      </w:r>
      <w:r w:rsidR="00451C29">
        <w:t xml:space="preserve"> aux besoins actuels des un</w:t>
      </w:r>
      <w:r w:rsidR="00D345DE">
        <w:t>e</w:t>
      </w:r>
      <w:r w:rsidR="00451C29">
        <w:t>s et des autres</w:t>
      </w:r>
      <w:r w:rsidR="00D345DE">
        <w:t xml:space="preserve"> parties prenantes</w:t>
      </w:r>
      <w:r w:rsidR="00451C29">
        <w:t>. Ces</w:t>
      </w:r>
      <w:r w:rsidR="008A2E81">
        <w:t xml:space="preserve"> </w:t>
      </w:r>
      <w:r w:rsidR="00D345DE">
        <w:t xml:space="preserve">3 </w:t>
      </w:r>
      <w:r w:rsidR="00071873">
        <w:t>tranches d’</w:t>
      </w:r>
      <w:r w:rsidR="008A2E81">
        <w:t>instrument</w:t>
      </w:r>
      <w:r w:rsidR="00451C29">
        <w:t>s</w:t>
      </w:r>
      <w:r w:rsidR="008A2E81">
        <w:t xml:space="preserve"> financier</w:t>
      </w:r>
      <w:r w:rsidR="00451C29">
        <w:t>s</w:t>
      </w:r>
      <w:r w:rsidR="00D345DE">
        <w:t xml:space="preserve"> </w:t>
      </w:r>
      <w:r w:rsidR="00071873">
        <w:t>doivent être attractive</w:t>
      </w:r>
      <w:r w:rsidR="00CA23DD">
        <w:t>s pour les investisseurs</w:t>
      </w:r>
      <w:r w:rsidR="004621FE">
        <w:t xml:space="preserve"> institutionnels</w:t>
      </w:r>
      <w:r w:rsidR="00CA23DD">
        <w:t xml:space="preserve"> et sont</w:t>
      </w:r>
      <w:r w:rsidR="00451C29">
        <w:t xml:space="preserve"> destiné</w:t>
      </w:r>
      <w:r w:rsidR="00071873">
        <w:t>e</w:t>
      </w:r>
      <w:r w:rsidR="00451C29">
        <w:t>s à être coté</w:t>
      </w:r>
      <w:r w:rsidR="00071873">
        <w:t>e</w:t>
      </w:r>
      <w:r w:rsidR="00451C29">
        <w:t>s</w:t>
      </w:r>
      <w:r w:rsidR="00D345DE">
        <w:t xml:space="preserve"> séparément</w:t>
      </w:r>
      <w:r w:rsidR="00A40063">
        <w:t xml:space="preserve"> en vue d’accroitre leur</w:t>
      </w:r>
      <w:r w:rsidR="00E647B7">
        <w:t>s</w:t>
      </w:r>
      <w:r w:rsidR="00A40063">
        <w:t xml:space="preserve"> liquidité</w:t>
      </w:r>
      <w:r w:rsidR="00E647B7">
        <w:t>s</w:t>
      </w:r>
      <w:r w:rsidR="00186426">
        <w:t> ; elles</w:t>
      </w:r>
      <w:r w:rsidR="00D345DE">
        <w:t xml:space="preserve"> </w:t>
      </w:r>
      <w:r w:rsidR="00EE741D">
        <w:t>serai</w:t>
      </w:r>
      <w:r w:rsidR="007E210C">
        <w:t>en</w:t>
      </w:r>
      <w:r w:rsidR="00EE741D">
        <w:t>t</w:t>
      </w:r>
      <w:r w:rsidR="008A2E81">
        <w:t>,</w:t>
      </w:r>
      <w:r w:rsidR="00EE741D">
        <w:t xml:space="preserve"> dans un premier temps</w:t>
      </w:r>
      <w:r w:rsidR="00836193">
        <w:t>,</w:t>
      </w:r>
      <w:r w:rsidR="00EE741D">
        <w:t xml:space="preserve"> placé</w:t>
      </w:r>
      <w:r w:rsidR="00F60F56">
        <w:t>es</w:t>
      </w:r>
      <w:r w:rsidR="00312921">
        <w:t xml:space="preserve"> en priorité auprès des entreprises</w:t>
      </w:r>
      <w:r w:rsidR="007E210C">
        <w:t xml:space="preserve"> privées</w:t>
      </w:r>
      <w:r w:rsidR="007D33DB">
        <w:t xml:space="preserve"> d’assurances gérées en capita</w:t>
      </w:r>
      <w:r w:rsidR="008A4796">
        <w:t>lisation, sous le contrôle des a</w:t>
      </w:r>
      <w:r w:rsidR="007D33DB">
        <w:t>utorités de marchés et de contrôle prudentiel</w:t>
      </w:r>
      <w:r w:rsidR="004E16E8">
        <w:t xml:space="preserve"> de chaque pays</w:t>
      </w:r>
      <w:r w:rsidR="00D9321A">
        <w:t xml:space="preserve"> (AMF, ACPR, BaFin</w:t>
      </w:r>
      <w:r w:rsidR="008A4796">
        <w:t>,</w:t>
      </w:r>
      <w:r w:rsidR="00023AD8">
        <w:t xml:space="preserve"> </w:t>
      </w:r>
      <w:r w:rsidR="008A4796">
        <w:t>…</w:t>
      </w:r>
      <w:r w:rsidR="00D9321A">
        <w:t>)</w:t>
      </w:r>
      <w:r w:rsidR="00EE741D">
        <w:t>. Garantissant un</w:t>
      </w:r>
      <w:r w:rsidR="00E82199">
        <w:t xml:space="preserve"> rende</w:t>
      </w:r>
      <w:r w:rsidR="00312921">
        <w:t xml:space="preserve">ment courant </w:t>
      </w:r>
      <w:r w:rsidR="00376CA3">
        <w:t xml:space="preserve">fixe </w:t>
      </w:r>
      <w:r w:rsidR="00312921">
        <w:t>de l’ordre de</w:t>
      </w:r>
      <w:r w:rsidR="008A2E81">
        <w:t xml:space="preserve"> </w:t>
      </w:r>
      <w:r w:rsidR="00EE741D">
        <w:t>1</w:t>
      </w:r>
      <w:r w:rsidR="00811188">
        <w:t>%</w:t>
      </w:r>
      <w:r w:rsidR="00EE741D">
        <w:t xml:space="preserve"> à</w:t>
      </w:r>
      <w:r w:rsidR="00312921">
        <w:t xml:space="preserve"> </w:t>
      </w:r>
      <w:r w:rsidR="00B16343">
        <w:t>3</w:t>
      </w:r>
      <w:r w:rsidR="00312921">
        <w:t>%,</w:t>
      </w:r>
      <w:r w:rsidR="008A2E81">
        <w:t xml:space="preserve"> en fonction des conditions de marché</w:t>
      </w:r>
      <w:r w:rsidR="00836193">
        <w:t xml:space="preserve"> du moment</w:t>
      </w:r>
      <w:r w:rsidR="008A2E81">
        <w:t>,</w:t>
      </w:r>
      <w:r w:rsidR="00186426">
        <w:t xml:space="preserve"> elles</w:t>
      </w:r>
      <w:r w:rsidR="00312921">
        <w:t xml:space="preserve"> </w:t>
      </w:r>
      <w:r w:rsidR="00376CA3">
        <w:t>devraient</w:t>
      </w:r>
      <w:r w:rsidR="00312921">
        <w:t xml:space="preserve"> comporter une rémunération variable </w:t>
      </w:r>
      <w:r w:rsidR="00842AB6">
        <w:t xml:space="preserve">additionnelle issue du bon </w:t>
      </w:r>
      <w:r w:rsidR="00EE741D">
        <w:t>usage des capitaux</w:t>
      </w:r>
      <w:r w:rsidR="008A2E81">
        <w:t xml:space="preserve"> investis</w:t>
      </w:r>
      <w:r w:rsidR="00842AB6">
        <w:t xml:space="preserve"> dans les fonds propres d’</w:t>
      </w:r>
      <w:r w:rsidR="00AF7238">
        <w:t>« </w:t>
      </w:r>
      <w:r w:rsidR="00E82199">
        <w:t>ETI</w:t>
      </w:r>
      <w:r w:rsidR="00AF7238">
        <w:t> »</w:t>
      </w:r>
      <w:r w:rsidR="00B03301">
        <w:t xml:space="preserve"> ou du </w:t>
      </w:r>
      <w:r w:rsidR="00AF7238">
        <w:t>« </w:t>
      </w:r>
      <w:r w:rsidR="00B03301">
        <w:t>Mittelstand</w:t>
      </w:r>
      <w:r w:rsidR="00AF7238">
        <w:t> »</w:t>
      </w:r>
      <w:r w:rsidR="00D6036B">
        <w:t>.</w:t>
      </w:r>
      <w:r w:rsidR="00451C29">
        <w:t xml:space="preserve"> </w:t>
      </w:r>
      <w:r w:rsidR="00376CA3">
        <w:t xml:space="preserve"> Selon diverses estimations, le rendement total pourrait atteindre entre </w:t>
      </w:r>
      <w:r w:rsidR="00B16343">
        <w:t>5</w:t>
      </w:r>
      <w:r w:rsidR="00376CA3">
        <w:t xml:space="preserve">% et </w:t>
      </w:r>
      <w:r w:rsidR="00B16343">
        <w:t>7</w:t>
      </w:r>
      <w:r w:rsidR="00376CA3">
        <w:t>%, ce qui rendrait ce placement particulièrement attractif</w:t>
      </w:r>
      <w:r w:rsidR="00B16343">
        <w:t xml:space="preserve"> sur le long terme</w:t>
      </w:r>
      <w:r w:rsidR="00376CA3">
        <w:t xml:space="preserve">. Il va de soi que le niveau de </w:t>
      </w:r>
      <w:r w:rsidR="00016B42">
        <w:t xml:space="preserve">cette </w:t>
      </w:r>
      <w:r w:rsidR="00376CA3">
        <w:t xml:space="preserve">rémunération variable dépendra </w:t>
      </w:r>
      <w:r w:rsidR="00B16343">
        <w:t xml:space="preserve">essentiellement </w:t>
      </w:r>
      <w:r w:rsidR="00376CA3">
        <w:t xml:space="preserve">de la qualité du ciblage des entreprises bénéficiant de ce mode de financement. </w:t>
      </w:r>
      <w:r w:rsidR="00071B2C">
        <w:t>« </w:t>
      </w:r>
      <w:r w:rsidR="00EE741D">
        <w:t>Callable</w:t>
      </w:r>
      <w:r w:rsidR="00071B2C">
        <w:t> »</w:t>
      </w:r>
      <w:r w:rsidR="00B03301">
        <w:t xml:space="preserve"> selon le terme cher aux tr</w:t>
      </w:r>
      <w:r w:rsidR="004E16E8">
        <w:t>a</w:t>
      </w:r>
      <w:r w:rsidR="00B03301">
        <w:t>ders</w:t>
      </w:r>
      <w:r w:rsidR="00EC783D">
        <w:t>, c’est-à-dire bénéficiant d’une option de rachat</w:t>
      </w:r>
      <w:r w:rsidR="00071B2C">
        <w:t xml:space="preserve"> </w:t>
      </w:r>
      <w:r w:rsidR="00EE741D">
        <w:t>à l’initia</w:t>
      </w:r>
      <w:r w:rsidR="00451C29">
        <w:t>tive d</w:t>
      </w:r>
      <w:r w:rsidR="007D33DB">
        <w:t>es banques centrales</w:t>
      </w:r>
      <w:r w:rsidR="00451C29">
        <w:t>, leurs</w:t>
      </w:r>
      <w:r w:rsidR="00EE741D">
        <w:t xml:space="preserve"> remboursement</w:t>
      </w:r>
      <w:r w:rsidR="00451C29">
        <w:t>s</w:t>
      </w:r>
      <w:r w:rsidR="00EE741D">
        <w:t xml:space="preserve"> se ferai</w:t>
      </w:r>
      <w:r w:rsidR="00451C29">
        <w:t>en</w:t>
      </w:r>
      <w:r w:rsidR="00EE741D">
        <w:t>t sur une base i</w:t>
      </w:r>
      <w:r w:rsidR="00E647B7">
        <w:t>ndexée sur l’inflation nationale</w:t>
      </w:r>
      <w:r w:rsidR="00EE741D">
        <w:t xml:space="preserve"> et/ou </w:t>
      </w:r>
      <w:r w:rsidR="00842AB6">
        <w:t xml:space="preserve">de </w:t>
      </w:r>
      <w:r w:rsidR="00EE741D">
        <w:t xml:space="preserve">certains critères </w:t>
      </w:r>
      <w:r w:rsidR="00183284">
        <w:t>« </w:t>
      </w:r>
      <w:r w:rsidR="00EE741D">
        <w:t>ESG</w:t>
      </w:r>
      <w:r w:rsidR="00183284">
        <w:t> »</w:t>
      </w:r>
      <w:r w:rsidR="009B5F0D">
        <w:t xml:space="preserve"> définis dans l’intérêt général</w:t>
      </w:r>
      <w:r w:rsidR="007E210C">
        <w:t xml:space="preserve"> par les parties prenantes concernées</w:t>
      </w:r>
      <w:r w:rsidR="00EE741D">
        <w:t>.</w:t>
      </w:r>
      <w:r w:rsidR="00B034E2">
        <w:t xml:space="preserve"> Leur volatilité potentielle, voire leur utilisation en tant que sous-jacents de produits dérivés mérite</w:t>
      </w:r>
      <w:r w:rsidR="00496B78">
        <w:t>raie</w:t>
      </w:r>
      <w:r w:rsidR="00B034E2">
        <w:t>nt des études approfondies sur les plans actuariels, financiers et comptables</w:t>
      </w:r>
      <w:r w:rsidR="00811188">
        <w:t xml:space="preserve"> </w:t>
      </w:r>
      <w:r w:rsidR="00496B78">
        <w:t xml:space="preserve">en </w:t>
      </w:r>
      <w:r w:rsidR="00811188">
        <w:t xml:space="preserve">tenant compte de la mutualisation </w:t>
      </w:r>
      <w:r w:rsidR="00AF7238">
        <w:t xml:space="preserve">inédite </w:t>
      </w:r>
      <w:r w:rsidR="00811188">
        <w:t>des risques ainsi organisée</w:t>
      </w:r>
      <w:r w:rsidR="00B034E2">
        <w:t>.</w:t>
      </w:r>
    </w:p>
    <w:p w14:paraId="73C98F45" w14:textId="77777777" w:rsidR="00D22229" w:rsidRDefault="00D22229" w:rsidP="00D22229">
      <w:pPr>
        <w:jc w:val="both"/>
      </w:pPr>
    </w:p>
    <w:p w14:paraId="5BEB7F44" w14:textId="352230ED" w:rsidR="00D6036B" w:rsidRDefault="00D6036B" w:rsidP="00E82199">
      <w:pPr>
        <w:pStyle w:val="Paragraphedeliste"/>
        <w:numPr>
          <w:ilvl w:val="0"/>
          <w:numId w:val="2"/>
        </w:numPr>
        <w:jc w:val="both"/>
      </w:pPr>
      <w:r>
        <w:t xml:space="preserve">Les fonds obtenus par cette émission </w:t>
      </w:r>
      <w:r w:rsidR="00D345DE">
        <w:t>totale</w:t>
      </w:r>
      <w:r w:rsidR="00EE741D">
        <w:t xml:space="preserve"> </w:t>
      </w:r>
      <w:r>
        <w:t xml:space="preserve">de </w:t>
      </w:r>
      <w:r w:rsidR="00186426">
        <w:t xml:space="preserve">l’ordre de </w:t>
      </w:r>
      <w:r>
        <w:t>100</w:t>
      </w:r>
      <w:r w:rsidR="00BE373D">
        <w:t xml:space="preserve"> </w:t>
      </w:r>
      <w:r>
        <w:t xml:space="preserve">mds € </w:t>
      </w:r>
      <w:r w:rsidR="00EC783D">
        <w:t xml:space="preserve"> pour la France et  </w:t>
      </w:r>
      <w:r w:rsidR="00186426">
        <w:t xml:space="preserve">de </w:t>
      </w:r>
      <w:r w:rsidR="00EC783D">
        <w:t xml:space="preserve">50 milliards </w:t>
      </w:r>
      <w:r w:rsidR="00E647B7">
        <w:t xml:space="preserve">€ </w:t>
      </w:r>
      <w:r w:rsidR="00EC783D">
        <w:t xml:space="preserve">pour l’Allemagne, </w:t>
      </w:r>
      <w:r>
        <w:t xml:space="preserve">seraient </w:t>
      </w:r>
      <w:r w:rsidR="00E82199">
        <w:t xml:space="preserve">directement </w:t>
      </w:r>
      <w:r w:rsidR="0006254C">
        <w:t>investis en t</w:t>
      </w:r>
      <w:r w:rsidR="004E16E8">
        <w:t>itres</w:t>
      </w:r>
      <w:r>
        <w:t xml:space="preserve"> </w:t>
      </w:r>
      <w:r w:rsidR="00EE741D">
        <w:t>spécifiques</w:t>
      </w:r>
      <w:r w:rsidR="007E210C">
        <w:t xml:space="preserve"> (« TPS »</w:t>
      </w:r>
      <w:r w:rsidR="00071873">
        <w:t>, « TS », « TH »</w:t>
      </w:r>
      <w:r w:rsidR="007E210C">
        <w:t>)</w:t>
      </w:r>
      <w:r w:rsidR="00071873">
        <w:t xml:space="preserve">, </w:t>
      </w:r>
      <w:r w:rsidR="004E16E8">
        <w:t xml:space="preserve">participatifs, </w:t>
      </w:r>
      <w:r w:rsidR="00071873">
        <w:t>subordonné ou hybrides</w:t>
      </w:r>
      <w:r w:rsidR="00EE741D">
        <w:t xml:space="preserve"> </w:t>
      </w:r>
      <w:r w:rsidR="003002BD">
        <w:t>non cotés mais à échéances longues</w:t>
      </w:r>
      <w:r w:rsidR="00253238">
        <w:t> ;</w:t>
      </w:r>
      <w:r w:rsidR="00836193">
        <w:t xml:space="preserve"> « callables »</w:t>
      </w:r>
      <w:r w:rsidR="00811188">
        <w:t xml:space="preserve"> par les </w:t>
      </w:r>
      <w:r w:rsidR="00EC783D">
        <w:t xml:space="preserve">entreprises </w:t>
      </w:r>
      <w:r w:rsidR="00811188">
        <w:t>bénéficiaires</w:t>
      </w:r>
      <w:r w:rsidR="00253238">
        <w:t> ; ils doivent fournir des</w:t>
      </w:r>
      <w:r w:rsidR="007B22E2">
        <w:t xml:space="preserve"> rendements adaptés au </w:t>
      </w:r>
      <w:r w:rsidR="003002BD">
        <w:t xml:space="preserve"> cas particulier </w:t>
      </w:r>
      <w:r w:rsidR="007B22E2">
        <w:t xml:space="preserve">de chaque </w:t>
      </w:r>
      <w:r w:rsidR="004E16E8">
        <w:t>« </w:t>
      </w:r>
      <w:r w:rsidR="007B22E2">
        <w:t>ETI</w:t>
      </w:r>
      <w:r w:rsidR="004E16E8">
        <w:t xml:space="preserve"> » ou </w:t>
      </w:r>
      <w:r w:rsidR="00253238">
        <w:t xml:space="preserve">de </w:t>
      </w:r>
      <w:r w:rsidR="00E647B7">
        <w:t xml:space="preserve">chaque </w:t>
      </w:r>
      <w:r w:rsidR="004E16E8">
        <w:t>société du « Mittelstand »</w:t>
      </w:r>
      <w:r w:rsidR="00E647B7">
        <w:t>,</w:t>
      </w:r>
      <w:r w:rsidR="007B22E2">
        <w:t xml:space="preserve"> en fonction de</w:t>
      </w:r>
      <w:r w:rsidR="009B5F0D">
        <w:t xml:space="preserve"> ses besoins </w:t>
      </w:r>
      <w:r w:rsidR="00C409A1">
        <w:t xml:space="preserve">avérés </w:t>
      </w:r>
      <w:r w:rsidR="009B5F0D">
        <w:t>en fonds propres</w:t>
      </w:r>
      <w:r w:rsidR="00EF1B01">
        <w:t xml:space="preserve"> pour assurer son </w:t>
      </w:r>
      <w:r w:rsidR="00C409A1">
        <w:t>avenir</w:t>
      </w:r>
      <w:r w:rsidR="00F60F56">
        <w:t xml:space="preserve"> </w:t>
      </w:r>
      <w:r w:rsidR="00AF7238">
        <w:t>en termes d’investissements et d’emplois</w:t>
      </w:r>
      <w:r w:rsidR="009B5F0D">
        <w:t>. Ces capitaux de long terme</w:t>
      </w:r>
      <w:r w:rsidR="003002BD">
        <w:t xml:space="preserve"> </w:t>
      </w:r>
      <w:r w:rsidR="007B22E2">
        <w:t>seraient attribués sur</w:t>
      </w:r>
      <w:r w:rsidR="003002BD">
        <w:t xml:space="preserve"> décision </w:t>
      </w:r>
      <w:r w:rsidR="009B5F0D">
        <w:t>des directeurs de succursales</w:t>
      </w:r>
      <w:r>
        <w:t xml:space="preserve"> et/ou </w:t>
      </w:r>
      <w:r w:rsidR="00B930FE">
        <w:t xml:space="preserve">des </w:t>
      </w:r>
      <w:r w:rsidR="009B5F0D">
        <w:t xml:space="preserve">directeurs </w:t>
      </w:r>
      <w:r w:rsidR="00B930FE">
        <w:t>régionaux</w:t>
      </w:r>
      <w:r w:rsidR="003002BD">
        <w:t xml:space="preserve"> et de leurs équipes</w:t>
      </w:r>
      <w:r w:rsidR="00E94F07">
        <w:t xml:space="preserve"> locales</w:t>
      </w:r>
      <w:r w:rsidR="00EF1B01">
        <w:t xml:space="preserve"> </w:t>
      </w:r>
      <w:r w:rsidR="00E647B7">
        <w:t xml:space="preserve">de la Banque de France et de la Buba </w:t>
      </w:r>
      <w:r w:rsidR="00EF1B01">
        <w:t>sur des critères économiques</w:t>
      </w:r>
      <w:r w:rsidR="0008713E">
        <w:t>, financiers</w:t>
      </w:r>
      <w:r w:rsidR="00EF1B01">
        <w:t xml:space="preserve"> et sociaux objectifs</w:t>
      </w:r>
      <w:r w:rsidR="009B5F0D">
        <w:t>.</w:t>
      </w:r>
      <w:r w:rsidR="001A062E">
        <w:t xml:space="preserve"> </w:t>
      </w:r>
      <w:r w:rsidR="00EF1B01">
        <w:t>Les Banques Centrales</w:t>
      </w:r>
      <w:r w:rsidR="00071873">
        <w:t xml:space="preserve"> disposent</w:t>
      </w:r>
      <w:r w:rsidR="00EC783D">
        <w:t xml:space="preserve"> en effet </w:t>
      </w:r>
      <w:r w:rsidR="00071873">
        <w:t xml:space="preserve">d’outils de notations bancaires reposant sur des diagnostics issus d’une analyse </w:t>
      </w:r>
      <w:r w:rsidR="0006254C">
        <w:t xml:space="preserve">financière </w:t>
      </w:r>
      <w:r w:rsidR="00071873">
        <w:t>approfondie</w:t>
      </w:r>
      <w:r w:rsidR="002D4B0E">
        <w:t xml:space="preserve"> sur une base</w:t>
      </w:r>
      <w:r w:rsidR="008C0ABF">
        <w:t xml:space="preserve"> </w:t>
      </w:r>
      <w:r w:rsidR="001A062E">
        <w:t>dynamique</w:t>
      </w:r>
      <w:r w:rsidR="00702D35">
        <w:t> :</w:t>
      </w:r>
      <w:r w:rsidR="0006254C">
        <w:t xml:space="preserve"> </w:t>
      </w:r>
      <w:r w:rsidR="00702D35">
        <w:t xml:space="preserve">structures </w:t>
      </w:r>
      <w:r w:rsidR="00071873">
        <w:t>bilantielles,</w:t>
      </w:r>
      <w:r w:rsidR="00702D35">
        <w:t xml:space="preserve"> </w:t>
      </w:r>
      <w:r w:rsidR="00946E3A">
        <w:t>« </w:t>
      </w:r>
      <w:r w:rsidR="00702D35">
        <w:t>BFR</w:t>
      </w:r>
      <w:r w:rsidR="00946E3A">
        <w:t> »</w:t>
      </w:r>
      <w:r w:rsidR="00E647B7">
        <w:t xml:space="preserve"> (</w:t>
      </w:r>
      <w:r w:rsidR="00946E3A">
        <w:t>« </w:t>
      </w:r>
      <w:r w:rsidR="00E647B7">
        <w:t>Besoins en fonds de roulement</w:t>
      </w:r>
      <w:r w:rsidR="00946E3A">
        <w:t> »</w:t>
      </w:r>
      <w:r w:rsidR="00E647B7">
        <w:t>)</w:t>
      </w:r>
      <w:r w:rsidR="00702D35">
        <w:t>,</w:t>
      </w:r>
      <w:r w:rsidR="0006254C">
        <w:t xml:space="preserve"> </w:t>
      </w:r>
      <w:r w:rsidR="001A062E">
        <w:t>c</w:t>
      </w:r>
      <w:r w:rsidR="00071873">
        <w:t xml:space="preserve">apacité d’autofinancement, ratios </w:t>
      </w:r>
      <w:r w:rsidR="00071873">
        <w:lastRenderedPageBreak/>
        <w:t>de rendements opérationnels</w:t>
      </w:r>
      <w:r w:rsidR="00E647B7">
        <w:t>..</w:t>
      </w:r>
      <w:r w:rsidR="002D4B0E">
        <w:t xml:space="preserve">. </w:t>
      </w:r>
      <w:r w:rsidR="008C51F0">
        <w:t xml:space="preserve">Les « business models » </w:t>
      </w:r>
      <w:r w:rsidR="00023AD8">
        <w:t xml:space="preserve">de demain </w:t>
      </w:r>
      <w:r w:rsidR="008C51F0">
        <w:t>doivent rechercher la mise en place d’avantages compétitifs compatibles avec la nécessaire transition écologique</w:t>
      </w:r>
      <w:r w:rsidR="0008713E">
        <w:t xml:space="preserve"> </w:t>
      </w:r>
      <w:r w:rsidR="00A02DAB">
        <w:t xml:space="preserve">et technologique </w:t>
      </w:r>
      <w:r w:rsidR="0008713E">
        <w:t>au plan européen</w:t>
      </w:r>
      <w:r w:rsidR="008C51F0">
        <w:t xml:space="preserve">. </w:t>
      </w:r>
      <w:r w:rsidR="008631C6">
        <w:t xml:space="preserve"> Les propositions de Jacques Attali concernant les 15 secteurs regroupant « l’économie de de vie » (dont alimentation, éducation, santé, sécurité, …) sont de nature à orienter les choix pertinents. </w:t>
      </w:r>
      <w:r w:rsidR="00A02DAB">
        <w:t>L</w:t>
      </w:r>
      <w:r w:rsidR="002D4B0E">
        <w:t xml:space="preserve">es ratios </w:t>
      </w:r>
      <w:r w:rsidR="00E647B7">
        <w:t xml:space="preserve">classiques de gestion </w:t>
      </w:r>
      <w:r w:rsidR="008A4796">
        <w:t>devron</w:t>
      </w:r>
      <w:r w:rsidR="002D4B0E">
        <w:t xml:space="preserve">t </w:t>
      </w:r>
      <w:r w:rsidR="008C51F0">
        <w:t xml:space="preserve">de ce fait </w:t>
      </w:r>
      <w:r w:rsidR="002D4B0E">
        <w:t>être soigneusement conjugués avec</w:t>
      </w:r>
      <w:r w:rsidR="005228DA">
        <w:t xml:space="preserve"> la prise en compte des facteurs humains </w:t>
      </w:r>
      <w:r w:rsidR="004E16E8">
        <w:t>indispensables à la réussite</w:t>
      </w:r>
      <w:r w:rsidR="00253238">
        <w:t xml:space="preserve"> </w:t>
      </w:r>
      <w:r w:rsidR="00266EB6">
        <w:t>durable</w:t>
      </w:r>
      <w:r w:rsidR="00253238">
        <w:t xml:space="preserve"> </w:t>
      </w:r>
      <w:r w:rsidR="005228DA">
        <w:t>: esprit d’entreprise, qualité de gouvernance, cohésion d équipes</w:t>
      </w:r>
      <w:r w:rsidR="006D2FF2">
        <w:t xml:space="preserve"> professionnelles</w:t>
      </w:r>
      <w:r w:rsidR="00AF7238">
        <w:t>…</w:t>
      </w:r>
      <w:r w:rsidR="00071873">
        <w:t xml:space="preserve"> </w:t>
      </w:r>
      <w:r w:rsidR="009B5F0D">
        <w:t xml:space="preserve">Ces allocations </w:t>
      </w:r>
      <w:r w:rsidR="00EF1B01">
        <w:t xml:space="preserve">sélectives </w:t>
      </w:r>
      <w:r w:rsidR="001A062E">
        <w:t xml:space="preserve">en fonds propres </w:t>
      </w:r>
      <w:r w:rsidR="009B5F0D">
        <w:t>seraient</w:t>
      </w:r>
      <w:r>
        <w:t xml:space="preserve"> assorti</w:t>
      </w:r>
      <w:r w:rsidR="009B5F0D">
        <w:t>e</w:t>
      </w:r>
      <w:r>
        <w:t xml:space="preserve">s d’une mission </w:t>
      </w:r>
      <w:r w:rsidR="009B5F0D">
        <w:t>pluriannuelle</w:t>
      </w:r>
      <w:r w:rsidR="00EE741D">
        <w:t xml:space="preserve"> de contrôle </w:t>
      </w:r>
      <w:r>
        <w:t>d’</w:t>
      </w:r>
      <w:r w:rsidR="00BE373D">
        <w:t>e</w:t>
      </w:r>
      <w:r>
        <w:t>xperts</w:t>
      </w:r>
      <w:r w:rsidR="00C409A1">
        <w:t>-</w:t>
      </w:r>
      <w:r>
        <w:t>comptables</w:t>
      </w:r>
      <w:r w:rsidR="00D7395C">
        <w:t xml:space="preserve"> </w:t>
      </w:r>
      <w:r w:rsidR="00E647B7">
        <w:t xml:space="preserve">et </w:t>
      </w:r>
      <w:r w:rsidR="00D9321A">
        <w:t>« </w:t>
      </w:r>
      <w:r w:rsidR="00E647B7">
        <w:t>Wirtschaftsprüfer</w:t>
      </w:r>
      <w:r w:rsidR="00D9321A">
        <w:t> »</w:t>
      </w:r>
      <w:r w:rsidR="00684438">
        <w:t xml:space="preserve"> </w:t>
      </w:r>
      <w:r w:rsidR="009B5F0D">
        <w:t xml:space="preserve">portant sur </w:t>
      </w:r>
      <w:r w:rsidR="007E210C">
        <w:t>les investissements effectués,</w:t>
      </w:r>
      <w:r w:rsidR="009B5F0D">
        <w:t xml:space="preserve"> les cré</w:t>
      </w:r>
      <w:r w:rsidR="00E94F07">
        <w:t>ati</w:t>
      </w:r>
      <w:r w:rsidR="00B930FE">
        <w:t>ons d’emplois durables</w:t>
      </w:r>
      <w:r w:rsidR="007E210C">
        <w:t xml:space="preserve"> et le respect des critères </w:t>
      </w:r>
      <w:r w:rsidR="00AF7238">
        <w:t>« </w:t>
      </w:r>
      <w:r w:rsidR="007E210C">
        <w:t>ESG</w:t>
      </w:r>
      <w:r w:rsidR="00AF7238">
        <w:t> »</w:t>
      </w:r>
      <w:r w:rsidR="007E210C">
        <w:t xml:space="preserve"> retenus</w:t>
      </w:r>
      <w:r w:rsidR="001A062E">
        <w:t xml:space="preserve"> en commun</w:t>
      </w:r>
      <w:r w:rsidR="00E647B7">
        <w:t xml:space="preserve"> ; </w:t>
      </w:r>
      <w:r w:rsidR="00EF1B01">
        <w:t xml:space="preserve">c’est </w:t>
      </w:r>
      <w:r w:rsidR="00186426">
        <w:t xml:space="preserve">d’ailleurs </w:t>
      </w:r>
      <w:r w:rsidR="00E647B7">
        <w:t>déjà le cas pour la mise en oeuvre</w:t>
      </w:r>
      <w:r w:rsidR="00EF1B01">
        <w:t xml:space="preserve"> </w:t>
      </w:r>
      <w:r w:rsidR="00E647B7">
        <w:t xml:space="preserve">des </w:t>
      </w:r>
      <w:r w:rsidR="00EF1B01">
        <w:t>« Über</w:t>
      </w:r>
      <w:r w:rsidR="00E647B7">
        <w:t>brückungshilfen » organisées</w:t>
      </w:r>
      <w:r w:rsidR="00EF1B01">
        <w:t xml:space="preserve"> pendant l’é</w:t>
      </w:r>
      <w:r w:rsidR="00E647B7">
        <w:t>té en Allemagne</w:t>
      </w:r>
      <w:r>
        <w:t>.</w:t>
      </w:r>
    </w:p>
    <w:p w14:paraId="0A290D59" w14:textId="77777777" w:rsidR="00D22229" w:rsidRDefault="00D22229" w:rsidP="00D22229">
      <w:pPr>
        <w:jc w:val="both"/>
      </w:pPr>
    </w:p>
    <w:p w14:paraId="747E4405" w14:textId="7F33B8C2" w:rsidR="00D6036B" w:rsidRDefault="00D6036B" w:rsidP="00E82199">
      <w:pPr>
        <w:pStyle w:val="Paragraphedeliste"/>
        <w:numPr>
          <w:ilvl w:val="0"/>
          <w:numId w:val="2"/>
        </w:numPr>
        <w:jc w:val="both"/>
      </w:pPr>
      <w:r>
        <w:t xml:space="preserve">Des renforts provisoires de compétence pourraient </w:t>
      </w:r>
      <w:r w:rsidR="00E670E1">
        <w:t xml:space="preserve">éventuellement </w:t>
      </w:r>
      <w:r w:rsidR="007E210C">
        <w:t>être proposés</w:t>
      </w:r>
      <w:r>
        <w:t xml:space="preserve"> aux stru</w:t>
      </w:r>
      <w:r w:rsidR="00B930FE">
        <w:t>ctures décentralisées des banques centrales</w:t>
      </w:r>
      <w:r w:rsidR="007E210C">
        <w:t xml:space="preserve">… à condition que ces adjonctions </w:t>
      </w:r>
      <w:r w:rsidR="00334ADE">
        <w:t xml:space="preserve">administratives </w:t>
      </w:r>
      <w:r w:rsidR="001A062E">
        <w:t xml:space="preserve">de circonstances </w:t>
      </w:r>
      <w:r w:rsidR="007E210C">
        <w:t xml:space="preserve">ne soient pas </w:t>
      </w:r>
      <w:r w:rsidR="00DB3C24">
        <w:t>artificielles, voire</w:t>
      </w:r>
      <w:r w:rsidR="00684438">
        <w:t xml:space="preserve"> </w:t>
      </w:r>
      <w:r w:rsidR="007E210C">
        <w:t>contre-productives</w:t>
      </w:r>
      <w:r w:rsidR="00EC783D">
        <w:t xml:space="preserve"> sur le plan territorial</w:t>
      </w:r>
      <w:r w:rsidR="00842AB6">
        <w:t>.</w:t>
      </w:r>
      <w:r w:rsidR="00684438">
        <w:t xml:space="preserve"> Il convient en effet de maintenir une sélectivité à fondements économiques</w:t>
      </w:r>
      <w:r w:rsidR="001A062E">
        <w:t xml:space="preserve"> et financiers</w:t>
      </w:r>
      <w:r w:rsidR="00684438">
        <w:t xml:space="preserve"> avérés</w:t>
      </w:r>
      <w:r w:rsidR="00334ADE">
        <w:t>,</w:t>
      </w:r>
      <w:r w:rsidR="00684438">
        <w:t xml:space="preserve"> en dehors de toute tentation de clientélisme</w:t>
      </w:r>
      <w:r w:rsidR="00334ADE">
        <w:t xml:space="preserve"> ou de docilité </w:t>
      </w:r>
      <w:r w:rsidR="00EB3038">
        <w:t>politique</w:t>
      </w:r>
      <w:r w:rsidR="00A519B2">
        <w:t xml:space="preserve"> à court terme</w:t>
      </w:r>
      <w:r w:rsidR="00684438">
        <w:t>.</w:t>
      </w:r>
      <w:r w:rsidR="00266EB6">
        <w:t xml:space="preserve"> De ce point de vue, il reste à la </w:t>
      </w:r>
      <w:r w:rsidR="00E647B7">
        <w:t>« </w:t>
      </w:r>
      <w:r w:rsidR="00266EB6">
        <w:t>BPI</w:t>
      </w:r>
      <w:r w:rsidR="00E647B7">
        <w:t> » en France</w:t>
      </w:r>
      <w:r w:rsidR="00266EB6">
        <w:t xml:space="preserve"> à faire la preuve de</w:t>
      </w:r>
      <w:r w:rsidR="005E38A9">
        <w:t xml:space="preserve"> son indépendance et de son efficacité </w:t>
      </w:r>
      <w:r w:rsidR="00E647B7">
        <w:t>opérationnelle</w:t>
      </w:r>
      <w:r w:rsidR="00334ADE">
        <w:t xml:space="preserve"> </w:t>
      </w:r>
      <w:r w:rsidR="005E38A9">
        <w:t>grâce à</w:t>
      </w:r>
      <w:r w:rsidR="00266EB6">
        <w:t xml:space="preserve"> la pertinence de ses interventions en temps réel</w:t>
      </w:r>
      <w:r w:rsidR="005E38A9">
        <w:t xml:space="preserve"> au service des entreprises</w:t>
      </w:r>
      <w:r w:rsidR="00266EB6">
        <w:t>.</w:t>
      </w:r>
      <w:r w:rsidR="00D7395C">
        <w:t xml:space="preserve"> Il en va de même pour les structures de la Caisse des Dépôts et Consignations qui souhaitent s’orienter vers les financements en fonds propres de l’économie.</w:t>
      </w:r>
    </w:p>
    <w:p w14:paraId="2B04585F" w14:textId="6B1BE1BA" w:rsidR="00E934C3" w:rsidRDefault="00E934C3" w:rsidP="00E934C3">
      <w:pPr>
        <w:jc w:val="both"/>
      </w:pPr>
      <w:r>
        <w:t>Ce type d’initiative</w:t>
      </w:r>
      <w:r w:rsidR="00D9321A">
        <w:t xml:space="preserve"> des banques centrales serait</w:t>
      </w:r>
      <w:r>
        <w:t xml:space="preserve"> appelé à compléter les </w:t>
      </w:r>
      <w:r w:rsidR="004E16E8">
        <w:t xml:space="preserve">premières </w:t>
      </w:r>
      <w:r>
        <w:t>mesures d’accompagnement à court terme organisées sur une base gouvernementale et ne saurait en aucun cas faire double emploi</w:t>
      </w:r>
      <w:r w:rsidR="00ED2114">
        <w:t xml:space="preserve"> avec les fonds publics </w:t>
      </w:r>
      <w:r w:rsidR="00FF6C37">
        <w:t xml:space="preserve">déjà </w:t>
      </w:r>
      <w:r w:rsidR="00ED2114">
        <w:t>mobilisés</w:t>
      </w:r>
      <w:r>
        <w:t>. Ces renforcements immédiats en fonds propres</w:t>
      </w:r>
      <w:r w:rsidR="0006254C">
        <w:t xml:space="preserve"> spécifiques </w:t>
      </w:r>
      <w:r>
        <w:t xml:space="preserve">des </w:t>
      </w:r>
      <w:r w:rsidR="004E16E8">
        <w:t>« </w:t>
      </w:r>
      <w:r>
        <w:t>ETI</w:t>
      </w:r>
      <w:r w:rsidR="004E16E8">
        <w:t> »</w:t>
      </w:r>
      <w:r>
        <w:t xml:space="preserve"> </w:t>
      </w:r>
      <w:r w:rsidR="00496B78">
        <w:t xml:space="preserve">et du </w:t>
      </w:r>
      <w:r w:rsidR="004E16E8">
        <w:t>« </w:t>
      </w:r>
      <w:r w:rsidR="00496B78">
        <w:t>Mittelstand</w:t>
      </w:r>
      <w:r w:rsidR="004E16E8">
        <w:t> »</w:t>
      </w:r>
      <w:r w:rsidR="00496B78">
        <w:t xml:space="preserve"> </w:t>
      </w:r>
      <w:r>
        <w:t>sont de nature à encourager le système bancaire à mieux évaluer ses propres risques</w:t>
      </w:r>
      <w:r w:rsidR="00DB3C24">
        <w:t xml:space="preserve"> et ceux de ses clients, en particulier en matière de « credit rating »</w:t>
      </w:r>
      <w:r>
        <w:t>.</w:t>
      </w:r>
      <w:r w:rsidR="00ED2114">
        <w:t xml:space="preserve"> Les soutiens massifs de la </w:t>
      </w:r>
      <w:r w:rsidR="00085450">
        <w:t>« </w:t>
      </w:r>
      <w:r w:rsidR="00ED2114">
        <w:t>BCE</w:t>
      </w:r>
      <w:r w:rsidR="00085450">
        <w:t> »</w:t>
      </w:r>
      <w:r w:rsidR="00ED2114">
        <w:t xml:space="preserve"> au système bancaire</w:t>
      </w:r>
      <w:r w:rsidR="00B034E2">
        <w:t xml:space="preserve"> européen ne sauraient être correctement</w:t>
      </w:r>
      <w:r w:rsidR="00ED2114">
        <w:t xml:space="preserve"> utilisés </w:t>
      </w:r>
      <w:r w:rsidR="004D2121">
        <w:t xml:space="preserve">en France </w:t>
      </w:r>
      <w:r w:rsidR="008A4796">
        <w:t>sans le</w:t>
      </w:r>
      <w:r w:rsidR="00ED2114">
        <w:t xml:space="preserve"> renforcement préalable des fonds propres des entreprises industrielles et commerciales</w:t>
      </w:r>
      <w:r w:rsidR="001A062E">
        <w:t xml:space="preserve">. Il va de soi que la mise en œuvre des principes de solvabilité de </w:t>
      </w:r>
      <w:r w:rsidR="0006254C">
        <w:t>« </w:t>
      </w:r>
      <w:r w:rsidR="001A062E">
        <w:t>Bâle 3</w:t>
      </w:r>
      <w:r w:rsidR="0006254C">
        <w:t> »</w:t>
      </w:r>
      <w:r w:rsidR="001A062E">
        <w:t xml:space="preserve"> ne doit pas limiter la distribution indispensable de crédits,</w:t>
      </w:r>
      <w:r w:rsidR="00D70405">
        <w:t xml:space="preserve"> mais au contraire les encourager</w:t>
      </w:r>
      <w:r w:rsidR="001A062E">
        <w:t xml:space="preserve"> dès que les mesures de re</w:t>
      </w:r>
      <w:r w:rsidR="00073648">
        <w:t>nforcement des fonds propres sero</w:t>
      </w:r>
      <w:r w:rsidR="001A062E">
        <w:t>nt effectives.</w:t>
      </w:r>
    </w:p>
    <w:p w14:paraId="60BF055C" w14:textId="634A0FC6" w:rsidR="006058F5" w:rsidRDefault="006058F5" w:rsidP="00A46612">
      <w:pPr>
        <w:jc w:val="both"/>
      </w:pPr>
      <w:r>
        <w:t xml:space="preserve">Les </w:t>
      </w:r>
      <w:r w:rsidR="007E210C">
        <w:t xml:space="preserve">7 </w:t>
      </w:r>
      <w:r>
        <w:t>principaux avantages de</w:t>
      </w:r>
      <w:r w:rsidR="00BE373D">
        <w:t xml:space="preserve"> ce </w:t>
      </w:r>
      <w:r>
        <w:t>scenario sont</w:t>
      </w:r>
      <w:r w:rsidR="00684438">
        <w:t xml:space="preserve">, en plus de la circulation </w:t>
      </w:r>
      <w:r w:rsidR="00E94F07">
        <w:t xml:space="preserve">rapide </w:t>
      </w:r>
      <w:r w:rsidR="00684438">
        <w:t xml:space="preserve">et </w:t>
      </w:r>
      <w:r w:rsidR="00E94F07">
        <w:t xml:space="preserve">de </w:t>
      </w:r>
      <w:r w:rsidR="00A46612">
        <w:t>l’affectation optimale, car</w:t>
      </w:r>
      <w:r w:rsidR="00E94F07">
        <w:t xml:space="preserve"> sélective</w:t>
      </w:r>
      <w:r w:rsidR="00D70405">
        <w:t xml:space="preserve"> et indépendante</w:t>
      </w:r>
      <w:r w:rsidR="00A46612">
        <w:t>,</w:t>
      </w:r>
      <w:r w:rsidR="00E94F07">
        <w:t xml:space="preserve"> </w:t>
      </w:r>
      <w:r w:rsidR="00684438">
        <w:t>de</w:t>
      </w:r>
      <w:r w:rsidR="00E647B7">
        <w:t>s</w:t>
      </w:r>
      <w:r w:rsidR="00684438">
        <w:t xml:space="preserve"> capitaux disponibles au service </w:t>
      </w:r>
      <w:r w:rsidR="00E94F07">
        <w:t xml:space="preserve">spécifique </w:t>
      </w:r>
      <w:r w:rsidR="00684438">
        <w:t xml:space="preserve">des </w:t>
      </w:r>
      <w:r w:rsidR="004E16E8">
        <w:t>« </w:t>
      </w:r>
      <w:r w:rsidR="00684438">
        <w:t>ETI</w:t>
      </w:r>
      <w:r w:rsidR="004E16E8">
        <w:t> »</w:t>
      </w:r>
      <w:r w:rsidR="00FC06DB">
        <w:t xml:space="preserve"> et du </w:t>
      </w:r>
      <w:r w:rsidR="004E16E8">
        <w:t>« </w:t>
      </w:r>
      <w:r w:rsidR="00FC06DB">
        <w:t>Mittelstand</w:t>
      </w:r>
      <w:r w:rsidR="004E16E8">
        <w:t> »</w:t>
      </w:r>
      <w:r w:rsidR="00684438">
        <w:t>,</w:t>
      </w:r>
      <w:r>
        <w:t xml:space="preserve"> les suivants</w:t>
      </w:r>
      <w:r w:rsidR="005F7066">
        <w:t> :</w:t>
      </w:r>
      <w:r>
        <w:t xml:space="preserve"> </w:t>
      </w:r>
    </w:p>
    <w:p w14:paraId="1B3D73E4" w14:textId="6620C07F" w:rsidR="006058F5" w:rsidRDefault="007E210C" w:rsidP="00E82199">
      <w:pPr>
        <w:jc w:val="both"/>
      </w:pPr>
      <w:r>
        <w:t>-</w:t>
      </w:r>
      <w:r w:rsidR="00D70405">
        <w:t>1)</w:t>
      </w:r>
      <w:r w:rsidR="00F60F56">
        <w:t xml:space="preserve"> </w:t>
      </w:r>
      <w:r>
        <w:t xml:space="preserve">Soutien </w:t>
      </w:r>
      <w:r w:rsidR="009900AA">
        <w:t>à</w:t>
      </w:r>
      <w:r w:rsidR="00642AA0">
        <w:t xml:space="preserve"> l’indépendance</w:t>
      </w:r>
      <w:r w:rsidR="00684438">
        <w:t xml:space="preserve"> des entreprises</w:t>
      </w:r>
      <w:r w:rsidR="006058F5">
        <w:t xml:space="preserve"> qui le méritent, en dehors des lourdeurs bureaucratiques</w:t>
      </w:r>
      <w:r w:rsidR="000C089F">
        <w:t xml:space="preserve"> centralisées</w:t>
      </w:r>
      <w:r w:rsidR="006058F5">
        <w:t xml:space="preserve">, voire de l’engorgement </w:t>
      </w:r>
      <w:r w:rsidR="00BE373D">
        <w:t xml:space="preserve">dramatique </w:t>
      </w:r>
      <w:r w:rsidR="00496B78">
        <w:t xml:space="preserve">des tribunaux </w:t>
      </w:r>
      <w:r w:rsidR="005F7066">
        <w:t>en cas de faillite</w:t>
      </w:r>
      <w:r w:rsidR="00A46612">
        <w:t>s</w:t>
      </w:r>
      <w:r w:rsidR="005F7066">
        <w:t xml:space="preserve"> potentielle</w:t>
      </w:r>
      <w:r w:rsidR="00A46612">
        <w:t xml:space="preserve">s en séries du fait des </w:t>
      </w:r>
      <w:r w:rsidR="00B930FE">
        <w:t xml:space="preserve">dramatiques </w:t>
      </w:r>
      <w:r w:rsidR="00A46612">
        <w:t>effets « dominos »</w:t>
      </w:r>
      <w:r w:rsidR="00E94F07">
        <w:t>.</w:t>
      </w:r>
    </w:p>
    <w:p w14:paraId="1F93A0A9" w14:textId="19849BB2" w:rsidR="007E210C" w:rsidRDefault="007E210C" w:rsidP="00E82199">
      <w:pPr>
        <w:jc w:val="both"/>
      </w:pPr>
      <w:r>
        <w:t>-</w:t>
      </w:r>
      <w:r w:rsidR="00D70405">
        <w:t>2)</w:t>
      </w:r>
      <w:r>
        <w:t xml:space="preserve"> Renoncement à</w:t>
      </w:r>
      <w:r w:rsidR="006058F5">
        <w:t xml:space="preserve"> la création monétaire</w:t>
      </w:r>
      <w:r w:rsidR="00073648">
        <w:t>, à la mise sous perfusion sans limite des marchés financiers</w:t>
      </w:r>
      <w:r w:rsidR="006058F5">
        <w:t xml:space="preserve"> ou à des mutualisations à risques </w:t>
      </w:r>
      <w:r w:rsidR="00A46612">
        <w:t xml:space="preserve">aisément </w:t>
      </w:r>
      <w:r w:rsidR="006058F5">
        <w:t xml:space="preserve">dissimulables de type </w:t>
      </w:r>
      <w:r w:rsidR="00EB3038">
        <w:t>« </w:t>
      </w:r>
      <w:r w:rsidR="006058F5">
        <w:t>titrisation</w:t>
      </w:r>
      <w:r w:rsidR="00EB3038">
        <w:t> »</w:t>
      </w:r>
      <w:r>
        <w:t xml:space="preserve">, </w:t>
      </w:r>
      <w:r w:rsidR="00D01B0B">
        <w:t xml:space="preserve">ainsi qu’aux dévaluations </w:t>
      </w:r>
      <w:r w:rsidR="00745D82">
        <w:t>affectant les</w:t>
      </w:r>
      <w:r w:rsidR="00D01B0B">
        <w:t xml:space="preserve"> parités </w:t>
      </w:r>
      <w:r w:rsidR="00745D82">
        <w:t>entre</w:t>
      </w:r>
      <w:r w:rsidR="00D01B0B">
        <w:t xml:space="preserve"> devises, toutes </w:t>
      </w:r>
      <w:r w:rsidR="00073648">
        <w:t xml:space="preserve">solutions en forme de pis-aller </w:t>
      </w:r>
      <w:r w:rsidR="00DB3C24">
        <w:t xml:space="preserve">qui </w:t>
      </w:r>
      <w:r w:rsidR="00EB3038">
        <w:t>constituent des solutions</w:t>
      </w:r>
      <w:r>
        <w:t xml:space="preserve"> inadapté</w:t>
      </w:r>
      <w:r w:rsidR="00EB3038">
        <w:t>e</w:t>
      </w:r>
      <w:r>
        <w:t>s au</w:t>
      </w:r>
      <w:r w:rsidR="005F7066">
        <w:t xml:space="preserve"> renforcement des fonds propres</w:t>
      </w:r>
      <w:r w:rsidR="00E670E1">
        <w:t xml:space="preserve"> et des investissements </w:t>
      </w:r>
      <w:r w:rsidR="00965710">
        <w:t xml:space="preserve">urgents </w:t>
      </w:r>
      <w:r>
        <w:t xml:space="preserve">des </w:t>
      </w:r>
      <w:r w:rsidR="00AF7238">
        <w:t>« </w:t>
      </w:r>
      <w:r>
        <w:t>ETI</w:t>
      </w:r>
      <w:r w:rsidR="00AF7238">
        <w:t> »</w:t>
      </w:r>
      <w:r w:rsidR="00496B78">
        <w:t xml:space="preserve"> et du </w:t>
      </w:r>
      <w:r w:rsidR="00AF7238">
        <w:t>« </w:t>
      </w:r>
      <w:r w:rsidR="00496B78">
        <w:t>Mittelstand</w:t>
      </w:r>
      <w:r w:rsidR="00AF7238">
        <w:t> »</w:t>
      </w:r>
      <w:r w:rsidR="00E647B7">
        <w:t>, en particulier</w:t>
      </w:r>
      <w:r w:rsidR="00B930FE">
        <w:t xml:space="preserve"> dans les territoires</w:t>
      </w:r>
      <w:r w:rsidR="009C3A75">
        <w:t xml:space="preserve"> français et allemands</w:t>
      </w:r>
      <w:r w:rsidR="00E94F07">
        <w:t>.</w:t>
      </w:r>
    </w:p>
    <w:p w14:paraId="7D873B06" w14:textId="0BDE6C2C" w:rsidR="006058F5" w:rsidRDefault="007E210C" w:rsidP="00E82199">
      <w:pPr>
        <w:jc w:val="both"/>
      </w:pPr>
      <w:r>
        <w:lastRenderedPageBreak/>
        <w:t>-</w:t>
      </w:r>
      <w:r w:rsidR="00D70405">
        <w:t xml:space="preserve">3) </w:t>
      </w:r>
      <w:r>
        <w:t>C</w:t>
      </w:r>
      <w:r w:rsidR="005F7066">
        <w:t>ontribution positive aux placements à risques limités des entreprises d’assurances</w:t>
      </w:r>
      <w:r w:rsidR="00071B2C">
        <w:t xml:space="preserve"> compatibles avec les dispositions règlementaires </w:t>
      </w:r>
      <w:r w:rsidR="00836193">
        <w:t xml:space="preserve">applicables </w:t>
      </w:r>
      <w:r w:rsidR="00071B2C">
        <w:t>et le</w:t>
      </w:r>
      <w:r w:rsidR="000C089F">
        <w:t>ur</w:t>
      </w:r>
      <w:r w:rsidR="00EB3038">
        <w:t>s</w:t>
      </w:r>
      <w:r w:rsidR="00E670E1">
        <w:t xml:space="preserve"> </w:t>
      </w:r>
      <w:r w:rsidR="00071B2C">
        <w:t xml:space="preserve">stratégies </w:t>
      </w:r>
      <w:r w:rsidR="00183284">
        <w:t>« </w:t>
      </w:r>
      <w:r w:rsidR="00071B2C">
        <w:t>ALM/LDM</w:t>
      </w:r>
      <w:r w:rsidR="00183284">
        <w:t> »</w:t>
      </w:r>
      <w:r w:rsidR="00EB3038">
        <w:t xml:space="preserve"> adaptées aux</w:t>
      </w:r>
      <w:r w:rsidR="00836193">
        <w:t xml:space="preserve"> temps de crise</w:t>
      </w:r>
      <w:r w:rsidR="00071B2C">
        <w:t>.</w:t>
      </w:r>
      <w:r w:rsidR="00C409A1">
        <w:t xml:space="preserve"> Ce placement attractif et liquid</w:t>
      </w:r>
      <w:r w:rsidR="00FF6C37">
        <w:t>e s</w:t>
      </w:r>
      <w:r w:rsidR="004E16E8">
        <w:t>’avèr</w:t>
      </w:r>
      <w:r w:rsidR="00FF6C37">
        <w:t>era particulièrement opportun</w:t>
      </w:r>
      <w:r w:rsidR="00C409A1">
        <w:t xml:space="preserve"> alors que la dégradation </w:t>
      </w:r>
      <w:r w:rsidR="009900AA">
        <w:t xml:space="preserve">rapide </w:t>
      </w:r>
      <w:r w:rsidR="00C409A1">
        <w:t xml:space="preserve">des rendements de l’assurance-vie fait planer un risque </w:t>
      </w:r>
      <w:r w:rsidR="00A46612">
        <w:t xml:space="preserve">majeur </w:t>
      </w:r>
      <w:r w:rsidR="00C409A1">
        <w:t>de rachats massifs</w:t>
      </w:r>
      <w:r w:rsidR="00DB3C24">
        <w:t>…</w:t>
      </w:r>
      <w:r w:rsidR="00FF6C37">
        <w:t xml:space="preserve"> </w:t>
      </w:r>
      <w:r w:rsidR="00DB3C24">
        <w:t>en particulier dans l’hypothèse d’une hausse incontrôlée des taux</w:t>
      </w:r>
      <w:r w:rsidR="00FF6C37">
        <w:t xml:space="preserve"> d’intérêt</w:t>
      </w:r>
      <w:r w:rsidR="00DB3C24">
        <w:t>.</w:t>
      </w:r>
      <w:r w:rsidR="00C409A1">
        <w:t xml:space="preserve"> </w:t>
      </w:r>
    </w:p>
    <w:p w14:paraId="47F047E5" w14:textId="6E0B8BEC" w:rsidR="007E210C" w:rsidRDefault="006058F5" w:rsidP="00E82199">
      <w:pPr>
        <w:jc w:val="both"/>
      </w:pPr>
      <w:r>
        <w:t>-</w:t>
      </w:r>
      <w:r w:rsidR="00D70405">
        <w:t>4)</w:t>
      </w:r>
      <w:r>
        <w:t xml:space="preserve"> Simplicité </w:t>
      </w:r>
      <w:r w:rsidR="00F60F56">
        <w:t xml:space="preserve">et </w:t>
      </w:r>
      <w:r w:rsidR="009900AA">
        <w:t>efficacité</w:t>
      </w:r>
      <w:r w:rsidR="005F7066">
        <w:t xml:space="preserve"> </w:t>
      </w:r>
      <w:r>
        <w:t>d</w:t>
      </w:r>
      <w:r w:rsidR="003002BD">
        <w:t>’</w:t>
      </w:r>
      <w:r>
        <w:t>u</w:t>
      </w:r>
      <w:r w:rsidR="003002BD">
        <w:t>n</w:t>
      </w:r>
      <w:r w:rsidR="00F60F56">
        <w:t xml:space="preserve"> processus</w:t>
      </w:r>
      <w:r w:rsidR="003002BD">
        <w:t xml:space="preserve"> </w:t>
      </w:r>
      <w:r w:rsidR="00F60F56">
        <w:t xml:space="preserve">de terrain </w:t>
      </w:r>
      <w:r w:rsidR="00DB3C24">
        <w:t xml:space="preserve">susceptible d’être </w:t>
      </w:r>
      <w:r>
        <w:t>mis en œuvre</w:t>
      </w:r>
      <w:r w:rsidR="003002BD">
        <w:t xml:space="preserve"> par des équipes </w:t>
      </w:r>
      <w:r w:rsidR="00FF6C37">
        <w:t xml:space="preserve">opérationnelles </w:t>
      </w:r>
      <w:r w:rsidR="009900AA">
        <w:t xml:space="preserve">locales </w:t>
      </w:r>
      <w:r w:rsidR="00FF6C37">
        <w:t xml:space="preserve">connues pour être </w:t>
      </w:r>
      <w:r w:rsidR="00C409A1">
        <w:t>informées</w:t>
      </w:r>
      <w:r w:rsidR="00DB3C24">
        <w:t>,</w:t>
      </w:r>
      <w:r w:rsidR="000C089F">
        <w:t xml:space="preserve"> </w:t>
      </w:r>
      <w:r w:rsidR="00E670E1">
        <w:t xml:space="preserve">motivées et cohérentes </w:t>
      </w:r>
      <w:r w:rsidR="00FF6C37">
        <w:t>et investies</w:t>
      </w:r>
      <w:r w:rsidR="000C089F">
        <w:t xml:space="preserve"> des pouvoirs</w:t>
      </w:r>
      <w:r w:rsidR="00DB3C24">
        <w:t xml:space="preserve"> effectifs </w:t>
      </w:r>
      <w:r w:rsidR="00C409A1">
        <w:t xml:space="preserve">de décisions </w:t>
      </w:r>
      <w:r w:rsidR="000C089F">
        <w:t>nécessaires</w:t>
      </w:r>
      <w:r w:rsidR="00DB3C24">
        <w:t xml:space="preserve"> pour </w:t>
      </w:r>
      <w:r w:rsidR="00C409A1">
        <w:t xml:space="preserve">la sélection </w:t>
      </w:r>
      <w:r w:rsidR="00EB3038">
        <w:t>des meilleurs choix</w:t>
      </w:r>
      <w:r w:rsidR="009900AA">
        <w:t xml:space="preserve"> : ceux-ci </w:t>
      </w:r>
      <w:r w:rsidR="00C409A1">
        <w:t>s’impose</w:t>
      </w:r>
      <w:r w:rsidR="009900AA">
        <w:t>ront</w:t>
      </w:r>
      <w:r w:rsidR="00EB3038">
        <w:t xml:space="preserve"> </w:t>
      </w:r>
      <w:r w:rsidR="0006254C">
        <w:t>en matière économ</w:t>
      </w:r>
      <w:r w:rsidR="00E647B7">
        <w:t>ique sociale dans le respect de rigoureux</w:t>
      </w:r>
      <w:r w:rsidR="0006254C">
        <w:t xml:space="preserve"> critères</w:t>
      </w:r>
      <w:r w:rsidR="00EB3038">
        <w:t xml:space="preserve"> </w:t>
      </w:r>
      <w:r w:rsidR="00183284">
        <w:t>« </w:t>
      </w:r>
      <w:r w:rsidR="00EB3038">
        <w:t>ESG</w:t>
      </w:r>
      <w:r w:rsidR="00183284">
        <w:t> »</w:t>
      </w:r>
      <w:r w:rsidR="00E647B7">
        <w:t>,</w:t>
      </w:r>
      <w:r w:rsidR="00D70405">
        <w:t xml:space="preserve"> à l’issue d’une analyse financière professionnelle</w:t>
      </w:r>
      <w:r w:rsidR="00496B78">
        <w:t xml:space="preserve"> et indépendante</w:t>
      </w:r>
      <w:r w:rsidR="00C409A1">
        <w:t>.</w:t>
      </w:r>
      <w:r w:rsidR="00D7395C">
        <w:t xml:space="preserve"> Cette démarche des banques centrales </w:t>
      </w:r>
      <w:r w:rsidR="00727626">
        <w:t>modère</w:t>
      </w:r>
      <w:r w:rsidR="00073869">
        <w:t>ra</w:t>
      </w:r>
      <w:r w:rsidR="00D7395C">
        <w:t xml:space="preserve"> la tentation, toujours présente en France, de créer de nouvelles structures administratives.</w:t>
      </w:r>
      <w:r w:rsidR="009900AA">
        <w:t xml:space="preserve"> « ad hoc »</w:t>
      </w:r>
      <w:r w:rsidR="00073869">
        <w:t xml:space="preserve"> </w:t>
      </w:r>
      <w:r w:rsidR="003870B5">
        <w:t>s</w:t>
      </w:r>
      <w:r w:rsidR="00073869">
        <w:t>ur fond de clientélisme</w:t>
      </w:r>
      <w:r w:rsidR="003870B5">
        <w:t>.</w:t>
      </w:r>
    </w:p>
    <w:p w14:paraId="6802F9A0" w14:textId="5CEEDDAA" w:rsidR="006058F5" w:rsidRDefault="007E210C" w:rsidP="00E82199">
      <w:pPr>
        <w:jc w:val="both"/>
      </w:pPr>
      <w:r>
        <w:t xml:space="preserve">- </w:t>
      </w:r>
      <w:r w:rsidR="00D70405">
        <w:t>5)</w:t>
      </w:r>
      <w:r w:rsidR="006058F5">
        <w:t xml:space="preserve"> </w:t>
      </w:r>
      <w:r>
        <w:t>Refus des tentations</w:t>
      </w:r>
      <w:r w:rsidR="003002BD">
        <w:t xml:space="preserve"> </w:t>
      </w:r>
      <w:r w:rsidR="00BE373D">
        <w:t xml:space="preserve">de </w:t>
      </w:r>
      <w:r w:rsidR="00071B2C">
        <w:t>« </w:t>
      </w:r>
      <w:r w:rsidR="00684438">
        <w:t>prél</w:t>
      </w:r>
      <w:r w:rsidR="00745D82">
        <w:t>è</w:t>
      </w:r>
      <w:r w:rsidR="00684438">
        <w:t>vements</w:t>
      </w:r>
      <w:r w:rsidR="00745D82">
        <w:t xml:space="preserve"> </w:t>
      </w:r>
      <w:r w:rsidR="00071B2C">
        <w:t>»</w:t>
      </w:r>
      <w:r w:rsidR="000C089F">
        <w:t xml:space="preserve"> abusifs </w:t>
      </w:r>
      <w:r w:rsidR="00C409A1">
        <w:t>et intempestifs</w:t>
      </w:r>
      <w:r w:rsidR="006058F5">
        <w:t xml:space="preserve"> </w:t>
      </w:r>
      <w:r w:rsidR="00071B2C">
        <w:t>dans toutes les « poches » mal gardées</w:t>
      </w:r>
      <w:r w:rsidR="005F7066">
        <w:t xml:space="preserve"> </w:t>
      </w:r>
      <w:r w:rsidR="006058F5">
        <w:t xml:space="preserve">(caisses de retraite </w:t>
      </w:r>
      <w:r w:rsidR="00E670E1">
        <w:t xml:space="preserve">complémentaires </w:t>
      </w:r>
      <w:r w:rsidR="006058F5">
        <w:t>en excédents provisoires,</w:t>
      </w:r>
      <w:r w:rsidR="00071B2C">
        <w:t xml:space="preserve"> entre autres,</w:t>
      </w:r>
      <w:r w:rsidR="006058F5">
        <w:t xml:space="preserve"> …)</w:t>
      </w:r>
      <w:r w:rsidR="00C97942">
        <w:t xml:space="preserve"> et </w:t>
      </w:r>
      <w:r w:rsidR="00C409A1">
        <w:t>souvent impécunieuses</w:t>
      </w:r>
      <w:r w:rsidR="00073E19">
        <w:t xml:space="preserve"> </w:t>
      </w:r>
      <w:r w:rsidR="0006254C">
        <w:t xml:space="preserve">à long terme </w:t>
      </w:r>
      <w:r w:rsidR="00073E19">
        <w:t>pour compense</w:t>
      </w:r>
      <w:r w:rsidR="0006254C">
        <w:t>r</w:t>
      </w:r>
      <w:r w:rsidR="00073E19">
        <w:t xml:space="preserve"> des déficits publics ou privés</w:t>
      </w:r>
      <w:r w:rsidR="00EB3038">
        <w:t xml:space="preserve"> d’origines diverses</w:t>
      </w:r>
      <w:r w:rsidR="00071B2C">
        <w:t>.</w:t>
      </w:r>
      <w:r w:rsidR="0005541A">
        <w:t xml:space="preserve"> La piste proposée repose sur une économie de moyens tant budgétaires que monétaires, en rétablissant un canal sécurisé entre l’épargne stable et les besoins en fonds propres des entreprises</w:t>
      </w:r>
      <w:r w:rsidR="00A20554">
        <w:t>.</w:t>
      </w:r>
    </w:p>
    <w:p w14:paraId="552F5C5F" w14:textId="3BE8ABD0" w:rsidR="006058F5" w:rsidRDefault="00C409A1" w:rsidP="00E82199">
      <w:pPr>
        <w:jc w:val="both"/>
      </w:pPr>
      <w:r>
        <w:t>-</w:t>
      </w:r>
      <w:r w:rsidR="00D70405">
        <w:t xml:space="preserve"> 6)</w:t>
      </w:r>
      <w:r>
        <w:t xml:space="preserve"> Compréhension naturelle du présent </w:t>
      </w:r>
      <w:r w:rsidR="00E670E1">
        <w:t>dispositif par</w:t>
      </w:r>
      <w:r>
        <w:t xml:space="preserve"> la Bundesbank familière du bon usage des</w:t>
      </w:r>
      <w:r w:rsidR="006058F5">
        <w:t xml:space="preserve"> </w:t>
      </w:r>
      <w:r w:rsidR="00BE373D">
        <w:t>« </w:t>
      </w:r>
      <w:r w:rsidR="006058F5">
        <w:t>Genussscheine</w:t>
      </w:r>
      <w:r w:rsidR="00BE373D">
        <w:t> »</w:t>
      </w:r>
      <w:r w:rsidR="00A46612">
        <w:t xml:space="preserve"> par le « Mittelstand »</w:t>
      </w:r>
      <w:r w:rsidR="00D70405">
        <w:t xml:space="preserve"> en vue d’éviter des tentatives d’acquisitions sauvages</w:t>
      </w:r>
      <w:r w:rsidR="00E670E1">
        <w:t xml:space="preserve"> ; il s’agit </w:t>
      </w:r>
      <w:r>
        <w:t xml:space="preserve">en effet </w:t>
      </w:r>
      <w:r w:rsidR="00E670E1">
        <w:t>d’une</w:t>
      </w:r>
      <w:r w:rsidR="006058F5">
        <w:t xml:space="preserve"> alliée indispensable </w:t>
      </w:r>
      <w:r w:rsidR="00EB3038">
        <w:t>pour</w:t>
      </w:r>
      <w:r w:rsidR="00E670E1">
        <w:t xml:space="preserve"> la Banque de France </w:t>
      </w:r>
      <w:r w:rsidR="000C089F">
        <w:t xml:space="preserve">en matière d’indépendance des banques centrales </w:t>
      </w:r>
      <w:r w:rsidR="006058F5">
        <w:t xml:space="preserve">au sein de la </w:t>
      </w:r>
      <w:r w:rsidR="00183284">
        <w:t>« </w:t>
      </w:r>
      <w:r w:rsidR="006058F5">
        <w:t>BCE</w:t>
      </w:r>
      <w:r w:rsidR="00183284">
        <w:t> »</w:t>
      </w:r>
      <w:r>
        <w:t>, et p</w:t>
      </w:r>
      <w:r w:rsidR="00073E19">
        <w:t>lus largement</w:t>
      </w:r>
      <w:r w:rsidR="00D00B7A">
        <w:t>,</w:t>
      </w:r>
      <w:r w:rsidR="00073E19">
        <w:t xml:space="preserve"> dans le cadre du Conseil de Stabilité M</w:t>
      </w:r>
      <w:r>
        <w:t>onétaire</w:t>
      </w:r>
      <w:r w:rsidR="00FF6C37">
        <w:t>, de l’</w:t>
      </w:r>
      <w:r w:rsidR="00183284">
        <w:t>«</w:t>
      </w:r>
      <w:r w:rsidR="00376CA3">
        <w:t xml:space="preserve"> </w:t>
      </w:r>
      <w:r w:rsidR="00FF6C37">
        <w:t>EBA</w:t>
      </w:r>
      <w:r w:rsidR="00376CA3">
        <w:t xml:space="preserve"> </w:t>
      </w:r>
      <w:r w:rsidR="00183284">
        <w:t>»</w:t>
      </w:r>
      <w:r w:rsidR="004E16E8">
        <w:t xml:space="preserve"> (« European Banking Authority »)</w:t>
      </w:r>
      <w:r w:rsidR="00FF6C37">
        <w:t xml:space="preserve"> ou </w:t>
      </w:r>
      <w:r w:rsidR="00F60F56">
        <w:t xml:space="preserve">encore </w:t>
      </w:r>
      <w:r w:rsidR="00FF6C37">
        <w:t xml:space="preserve">du </w:t>
      </w:r>
      <w:r w:rsidR="00A20554">
        <w:t>tout puissant</w:t>
      </w:r>
      <w:r w:rsidR="00F60F56">
        <w:t xml:space="preserve"> </w:t>
      </w:r>
      <w:r w:rsidR="00D34779">
        <w:t>« </w:t>
      </w:r>
      <w:r w:rsidR="00FF6C37">
        <w:t>Comité de Bâle</w:t>
      </w:r>
      <w:r w:rsidR="00D34779">
        <w:t> »</w:t>
      </w:r>
      <w:r w:rsidR="00E670E1">
        <w:t>. Cette</w:t>
      </w:r>
      <w:r w:rsidR="00D00B7A">
        <w:t xml:space="preserve"> coopération franco-allemande</w:t>
      </w:r>
      <w:r w:rsidR="00E670E1">
        <w:t xml:space="preserve"> s’impose</w:t>
      </w:r>
      <w:r w:rsidR="000C089F">
        <w:t xml:space="preserve"> à l’occasion d’</w:t>
      </w:r>
      <w:r w:rsidR="005F7066">
        <w:t>une</w:t>
      </w:r>
      <w:r w:rsidR="00842AB6">
        <w:t xml:space="preserve"> opération massive</w:t>
      </w:r>
      <w:r w:rsidR="005F7066">
        <w:t xml:space="preserve"> de financement </w:t>
      </w:r>
      <w:r w:rsidR="00FF6C37">
        <w:t xml:space="preserve">urgent </w:t>
      </w:r>
      <w:r w:rsidR="005F7066">
        <w:t>des entreprises</w:t>
      </w:r>
      <w:r w:rsidR="000C089F">
        <w:t xml:space="preserve"> </w:t>
      </w:r>
      <w:r w:rsidR="00F60F56">
        <w:t xml:space="preserve">de taille moyenne </w:t>
      </w:r>
      <w:r w:rsidR="00836193">
        <w:t>impliquant</w:t>
      </w:r>
      <w:r w:rsidR="000C089F">
        <w:t xml:space="preserve"> l’assimilation d</w:t>
      </w:r>
      <w:r w:rsidR="0006254C">
        <w:t>es titres p</w:t>
      </w:r>
      <w:r w:rsidR="00EB3038">
        <w:t>articipatifs</w:t>
      </w:r>
      <w:r w:rsidR="0006254C">
        <w:t xml:space="preserve">, </w:t>
      </w:r>
      <w:r w:rsidR="00D70405">
        <w:t>subordonnés ou hybrides</w:t>
      </w:r>
      <w:r w:rsidR="00836193">
        <w:t xml:space="preserve"> aux</w:t>
      </w:r>
      <w:r w:rsidR="000C089F">
        <w:t xml:space="preserve"> fonds propres</w:t>
      </w:r>
      <w:r w:rsidR="00E670E1">
        <w:t xml:space="preserve"> et aux capitaux permanents</w:t>
      </w:r>
      <w:r w:rsidR="00071B2C">
        <w:t>.</w:t>
      </w:r>
      <w:r w:rsidR="00745D82">
        <w:t xml:space="preserve"> D</w:t>
      </w:r>
      <w:r w:rsidR="00D00B7A">
        <w:t>’intenses</w:t>
      </w:r>
      <w:r w:rsidR="00073E19">
        <w:t xml:space="preserve"> efforts dipl</w:t>
      </w:r>
      <w:r w:rsidR="00A91816">
        <w:t>omatiques devront être</w:t>
      </w:r>
      <w:r w:rsidR="00073E19">
        <w:t xml:space="preserve"> déployés</w:t>
      </w:r>
      <w:r w:rsidR="00A91816">
        <w:t xml:space="preserve"> en </w:t>
      </w:r>
      <w:r w:rsidR="00D00B7A">
        <w:t>France,</w:t>
      </w:r>
      <w:r w:rsidR="00073E19">
        <w:t xml:space="preserve"> </w:t>
      </w:r>
      <w:r w:rsidR="00A91816">
        <w:t xml:space="preserve">tant </w:t>
      </w:r>
      <w:r w:rsidR="00073E19">
        <w:t xml:space="preserve">à l’égard de </w:t>
      </w:r>
      <w:r w:rsidR="0006254C">
        <w:t xml:space="preserve">l’administration centrale de </w:t>
      </w:r>
      <w:r w:rsidR="00A91816">
        <w:t xml:space="preserve">Bercy que du côté </w:t>
      </w:r>
      <w:r w:rsidR="00A20554">
        <w:t>des partis politiques</w:t>
      </w:r>
      <w:r w:rsidR="00745D82">
        <w:t>…</w:t>
      </w:r>
      <w:r w:rsidR="00A20554">
        <w:t xml:space="preserve"> voire des conseillers des princes.</w:t>
      </w:r>
    </w:p>
    <w:p w14:paraId="14F77BE9" w14:textId="1CF127F1" w:rsidR="005F7066" w:rsidRDefault="006058F5" w:rsidP="00E82199">
      <w:pPr>
        <w:jc w:val="both"/>
      </w:pPr>
      <w:r>
        <w:t xml:space="preserve">- </w:t>
      </w:r>
      <w:r w:rsidR="00D70405">
        <w:t>7)</w:t>
      </w:r>
      <w:r w:rsidR="00FF6C37">
        <w:t xml:space="preserve"> </w:t>
      </w:r>
      <w:r>
        <w:t xml:space="preserve">Une </w:t>
      </w:r>
      <w:r w:rsidR="00071B2C">
        <w:t>exceptionnelle</w:t>
      </w:r>
      <w:r w:rsidR="00BE373D">
        <w:t xml:space="preserve"> </w:t>
      </w:r>
      <w:r>
        <w:t>opportunité de circonstance</w:t>
      </w:r>
      <w:r w:rsidR="00C409A1">
        <w:t xml:space="preserve"> ne doit pas être négligée aujourd’hui</w:t>
      </w:r>
      <w:r w:rsidR="00D9321A">
        <w:t>. L</w:t>
      </w:r>
      <w:r w:rsidR="00E83561">
        <w:t>e</w:t>
      </w:r>
      <w:r>
        <w:t xml:space="preserve"> gouverneur de la B</w:t>
      </w:r>
      <w:r w:rsidR="00E83561">
        <w:t xml:space="preserve">anque de </w:t>
      </w:r>
      <w:r w:rsidR="00A91816">
        <w:t>France, Fra</w:t>
      </w:r>
      <w:r w:rsidR="00085450">
        <w:t>nçois Villeroy de Galhau et le p</w:t>
      </w:r>
      <w:r w:rsidR="00A91816">
        <w:t>résident de la Bundesbank</w:t>
      </w:r>
      <w:r w:rsidR="004E16E8">
        <w:t>,</w:t>
      </w:r>
      <w:r w:rsidR="00A91816">
        <w:t xml:space="preserve"> Jens Weidmann</w:t>
      </w:r>
      <w:r w:rsidR="004E16E8">
        <w:t>,</w:t>
      </w:r>
      <w:r w:rsidR="00E83561">
        <w:t xml:space="preserve"> </w:t>
      </w:r>
      <w:r w:rsidR="00D9321A">
        <w:t>maîtrisent non seulement</w:t>
      </w:r>
      <w:r>
        <w:t xml:space="preserve"> le</w:t>
      </w:r>
      <w:r w:rsidR="00A91816">
        <w:t>s</w:t>
      </w:r>
      <w:r>
        <w:t xml:space="preserve"> </w:t>
      </w:r>
      <w:r w:rsidR="005F7066">
        <w:t>modè</w:t>
      </w:r>
      <w:r>
        <w:t>le</w:t>
      </w:r>
      <w:r w:rsidR="00A91816">
        <w:t>s</w:t>
      </w:r>
      <w:r>
        <w:t xml:space="preserve"> économique</w:t>
      </w:r>
      <w:r w:rsidR="00A91816">
        <w:t>s, sociaux</w:t>
      </w:r>
      <w:r w:rsidR="005F7066">
        <w:t xml:space="preserve"> </w:t>
      </w:r>
      <w:r>
        <w:t>et financier</w:t>
      </w:r>
      <w:r w:rsidR="00A91816">
        <w:t>s</w:t>
      </w:r>
      <w:r w:rsidR="005228DA">
        <w:t xml:space="preserve"> du pays voisin</w:t>
      </w:r>
      <w:r w:rsidR="00D001CB">
        <w:t xml:space="preserve"> et leurs </w:t>
      </w:r>
      <w:r w:rsidR="00F60F56">
        <w:t xml:space="preserve">graves </w:t>
      </w:r>
      <w:r w:rsidR="00D001CB">
        <w:t>difficultés actuelles</w:t>
      </w:r>
      <w:r w:rsidR="00D9321A">
        <w:t>, mais également leurs langues et leurs cultures</w:t>
      </w:r>
      <w:r w:rsidR="00A91816">
        <w:t>. Une action coordonnée de leur part sous la présidence allemande de l’Union Européenne</w:t>
      </w:r>
      <w:r w:rsidR="00D00B7A">
        <w:t>,</w:t>
      </w:r>
      <w:r w:rsidR="004E16E8">
        <w:t xml:space="preserve"> dans le courant du</w:t>
      </w:r>
      <w:r w:rsidR="005228DA">
        <w:t xml:space="preserve"> second semestre 2020</w:t>
      </w:r>
      <w:r w:rsidR="00D00B7A">
        <w:t>,</w:t>
      </w:r>
      <w:r w:rsidR="00A91816">
        <w:t xml:space="preserve"> est de nature à faire prospérer des solutions financières</w:t>
      </w:r>
      <w:r w:rsidR="00D15345">
        <w:t xml:space="preserve"> </w:t>
      </w:r>
      <w:r w:rsidR="00D00B7A">
        <w:t>et</w:t>
      </w:r>
      <w:r w:rsidR="00D15345">
        <w:t xml:space="preserve"> </w:t>
      </w:r>
      <w:r w:rsidR="00D00B7A">
        <w:t>sociales</w:t>
      </w:r>
      <w:r w:rsidR="00A91816">
        <w:t xml:space="preserve"> innovantes.</w:t>
      </w:r>
      <w:r w:rsidR="005E38A9">
        <w:t xml:space="preserve"> On peut espérer que les remises en cause des options stratégiques des banques centrales, tant aux Etats-Unis qu’en Europe, permettront </w:t>
      </w:r>
      <w:r w:rsidR="00D00B7A">
        <w:t xml:space="preserve">enfin </w:t>
      </w:r>
      <w:r w:rsidR="005E38A9">
        <w:t xml:space="preserve">de prendre en compte des réalités de terrain que la primauté accordée aux marchés </w:t>
      </w:r>
      <w:r w:rsidR="00D00B7A">
        <w:t xml:space="preserve">financiers </w:t>
      </w:r>
      <w:r w:rsidR="005E38A9">
        <w:t>internationaux a fait ou</w:t>
      </w:r>
      <w:r w:rsidR="00D00B7A">
        <w:t xml:space="preserve">blier dans un environnement </w:t>
      </w:r>
      <w:r w:rsidR="00946E3A">
        <w:t xml:space="preserve">global </w:t>
      </w:r>
      <w:r w:rsidR="00D15345">
        <w:t>géré à partir de</w:t>
      </w:r>
      <w:r w:rsidR="00D00B7A">
        <w:t xml:space="preserve"> réflexes</w:t>
      </w:r>
      <w:r w:rsidR="005E38A9">
        <w:t xml:space="preserve"> </w:t>
      </w:r>
      <w:r w:rsidR="008C51F0">
        <w:t xml:space="preserve">essentiellement </w:t>
      </w:r>
      <w:r w:rsidR="005E38A9">
        <w:t>technocratiques.</w:t>
      </w:r>
    </w:p>
    <w:p w14:paraId="6A960072" w14:textId="179C0296" w:rsidR="00B61107" w:rsidRDefault="00B61107" w:rsidP="00E82199">
      <w:pPr>
        <w:jc w:val="both"/>
      </w:pPr>
    </w:p>
    <w:p w14:paraId="7EE4C4F0" w14:textId="35F58746" w:rsidR="00EC783D" w:rsidRDefault="006A2C86" w:rsidP="00E82199">
      <w:pPr>
        <w:jc w:val="both"/>
        <w:rPr>
          <w:u w:val="single"/>
        </w:rPr>
      </w:pPr>
      <w:bookmarkStart w:id="0" w:name="_Hlk51056173"/>
      <w:r>
        <w:rPr>
          <w:u w:val="single"/>
        </w:rPr>
        <w:t>D</w:t>
      </w:r>
      <w:r w:rsidR="00030A2F">
        <w:rPr>
          <w:u w:val="single"/>
        </w:rPr>
        <w:t>es</w:t>
      </w:r>
      <w:r w:rsidR="008631C6">
        <w:rPr>
          <w:u w:val="single"/>
        </w:rPr>
        <w:t xml:space="preserve"> </w:t>
      </w:r>
      <w:r w:rsidR="00030A2F">
        <w:rPr>
          <w:u w:val="single"/>
        </w:rPr>
        <w:t xml:space="preserve"> banques c</w:t>
      </w:r>
      <w:r w:rsidR="00344A23">
        <w:rPr>
          <w:u w:val="single"/>
        </w:rPr>
        <w:t>entrales</w:t>
      </w:r>
      <w:r w:rsidR="00D16CB3">
        <w:rPr>
          <w:u w:val="single"/>
        </w:rPr>
        <w:t xml:space="preserve"> </w:t>
      </w:r>
      <w:r w:rsidR="008631C6">
        <w:rPr>
          <w:u w:val="single"/>
        </w:rPr>
        <w:t xml:space="preserve"> </w:t>
      </w:r>
      <w:r w:rsidR="00D16CB3">
        <w:rPr>
          <w:u w:val="single"/>
        </w:rPr>
        <w:t xml:space="preserve">prisonnières </w:t>
      </w:r>
      <w:r>
        <w:rPr>
          <w:u w:val="single"/>
        </w:rPr>
        <w:t xml:space="preserve"> de </w:t>
      </w:r>
      <w:r w:rsidR="00FA523A">
        <w:rPr>
          <w:u w:val="single"/>
        </w:rPr>
        <w:t>« </w:t>
      </w:r>
      <w:r>
        <w:rPr>
          <w:u w:val="single"/>
        </w:rPr>
        <w:t>l’hybris</w:t>
      </w:r>
      <w:r w:rsidR="00FA523A">
        <w:rPr>
          <w:u w:val="single"/>
        </w:rPr>
        <w:t> »</w:t>
      </w:r>
      <w:r>
        <w:rPr>
          <w:u w:val="single"/>
        </w:rPr>
        <w:t xml:space="preserve"> des marchés financiers internationaux ?</w:t>
      </w:r>
    </w:p>
    <w:p w14:paraId="296425FF" w14:textId="4BAD1E98" w:rsidR="00622AD2" w:rsidRDefault="00FA4587" w:rsidP="00E82199">
      <w:pPr>
        <w:jc w:val="both"/>
      </w:pPr>
      <w:r w:rsidRPr="00FA4587">
        <w:t>La</w:t>
      </w:r>
      <w:r>
        <w:t xml:space="preserve"> réunion habituelle de Jackson</w:t>
      </w:r>
      <w:r w:rsidR="004E16E8">
        <w:t xml:space="preserve"> Ho</w:t>
      </w:r>
      <w:r>
        <w:t>le des principales banques centrales s’est tenue cet été de façon virtuel</w:t>
      </w:r>
      <w:r w:rsidR="006A2C86">
        <w:t>le pour cause de covid-19</w:t>
      </w:r>
      <w:r w:rsidR="005228DA">
        <w:t xml:space="preserve">. </w:t>
      </w:r>
      <w:r w:rsidR="005E38A9">
        <w:t>Les gouverneurs et leurs principaux conseillers n’auront pas eu la cha</w:t>
      </w:r>
      <w:r w:rsidR="009744BB">
        <w:t>n</w:t>
      </w:r>
      <w:r w:rsidR="005E38A9">
        <w:t>ce de profiter</w:t>
      </w:r>
      <w:r w:rsidR="008A4796">
        <w:t xml:space="preserve"> en 2020</w:t>
      </w:r>
      <w:r w:rsidR="005E38A9">
        <w:t xml:space="preserve"> du bon air de cette station de montagne du W</w:t>
      </w:r>
      <w:r w:rsidR="009744BB">
        <w:t>yoming choisie</w:t>
      </w:r>
      <w:r w:rsidR="006A2C86">
        <w:t xml:space="preserve"> en son temps</w:t>
      </w:r>
      <w:r w:rsidR="009744BB">
        <w:t xml:space="preserve"> par Paul Volcker (gouverneur de la « Fed » de 1979 à 1987) pour exercer ses talents de pêcheur à la mouche</w:t>
      </w:r>
      <w:r w:rsidR="00D34779">
        <w:t xml:space="preserve"> dans le lac voisin</w:t>
      </w:r>
      <w:r w:rsidR="009744BB">
        <w:t>. En cette fin d’été</w:t>
      </w:r>
      <w:r w:rsidR="005228DA">
        <w:t>, l</w:t>
      </w:r>
      <w:r w:rsidR="006A2C86">
        <w:t xml:space="preserve">a banque centrale des Etats-Unis </w:t>
      </w:r>
      <w:r>
        <w:t xml:space="preserve">a fait </w:t>
      </w:r>
      <w:r>
        <w:lastRenderedPageBreak/>
        <w:t>savoir</w:t>
      </w:r>
      <w:r w:rsidR="00D00B7A">
        <w:t xml:space="preserve"> « on line »,</w:t>
      </w:r>
      <w:r>
        <w:t xml:space="preserve"> qu’elle optait pour le maintien de taux d’intérêt durablement bas en raison de la </w:t>
      </w:r>
      <w:r w:rsidR="005228DA">
        <w:t xml:space="preserve">délicate </w:t>
      </w:r>
      <w:r>
        <w:t>situation de l’emploi aux Etats-Unis</w:t>
      </w:r>
      <w:r w:rsidR="005228DA">
        <w:t xml:space="preserve"> et d</w:t>
      </w:r>
      <w:r w:rsidR="005D1B70">
        <w:t>’</w:t>
      </w:r>
      <w:r w:rsidR="005228DA">
        <w:t>u</w:t>
      </w:r>
      <w:r w:rsidR="005D1B70">
        <w:t>n</w:t>
      </w:r>
      <w:r w:rsidR="005228DA">
        <w:t xml:space="preserve"> contexte politique</w:t>
      </w:r>
      <w:r w:rsidR="00030A2F">
        <w:t xml:space="preserve"> délicat</w:t>
      </w:r>
      <w:r>
        <w:t xml:space="preserve">. </w:t>
      </w:r>
      <w:r w:rsidR="00385452">
        <w:t>Cette mesure a été</w:t>
      </w:r>
      <w:r w:rsidR="00266EB6">
        <w:t xml:space="preserve"> présentée </w:t>
      </w:r>
      <w:r w:rsidR="00E860A6">
        <w:t xml:space="preserve">à la communauté financière </w:t>
      </w:r>
      <w:r w:rsidR="00266EB6">
        <w:t>comme un cha</w:t>
      </w:r>
      <w:r w:rsidR="009744BB">
        <w:t>n</w:t>
      </w:r>
      <w:r w:rsidR="00266EB6">
        <w:t>gement de priorité concernant le niveau de l</w:t>
      </w:r>
      <w:r w:rsidR="006A2C86">
        <w:t xml:space="preserve">’inflation que l’on souhaiterait </w:t>
      </w:r>
      <w:r w:rsidR="005D1B70">
        <w:t xml:space="preserve">désormais </w:t>
      </w:r>
      <w:r w:rsidR="006A2C86">
        <w:t>porter à plus de</w:t>
      </w:r>
      <w:r w:rsidR="00266EB6">
        <w:t xml:space="preserve"> 2%.</w:t>
      </w:r>
      <w:r w:rsidR="006A2C86">
        <w:t xml:space="preserve"> Objectif étrange alors que les rémunérations de la plupart des acteurs</w:t>
      </w:r>
      <w:r w:rsidR="00385452">
        <w:t xml:space="preserve"> de l’économie américaine</w:t>
      </w:r>
      <w:r w:rsidR="00D16CB3">
        <w:t xml:space="preserve"> peinent à être indexées sur le pouvoir d’achat</w:t>
      </w:r>
      <w:r w:rsidR="006A2C86">
        <w:t xml:space="preserve"> du dollar…</w:t>
      </w:r>
      <w:r w:rsidR="00D70D5A">
        <w:t xml:space="preserve"> </w:t>
      </w:r>
      <w:r w:rsidR="00385452">
        <w:t>Outre le peu de crédibilité</w:t>
      </w:r>
      <w:r w:rsidR="0009589C">
        <w:t xml:space="preserve"> accordée à cette mécanique </w:t>
      </w:r>
      <w:r w:rsidR="00030A2F">
        <w:t xml:space="preserve">monétaire </w:t>
      </w:r>
      <w:r w:rsidR="0009589C">
        <w:t>aux effets approximatifs</w:t>
      </w:r>
      <w:r w:rsidR="00BA29DC">
        <w:t xml:space="preserve"> sur les prix</w:t>
      </w:r>
      <w:r w:rsidR="0009589C">
        <w:t>, cette option ne manquera pas</w:t>
      </w:r>
      <w:r w:rsidR="00385452">
        <w:t xml:space="preserve"> d’</w:t>
      </w:r>
      <w:r w:rsidR="00D70D5A">
        <w:t>acc</w:t>
      </w:r>
      <w:r w:rsidR="00385452">
        <w:t xml:space="preserve">entuer </w:t>
      </w:r>
      <w:r w:rsidR="0009589C">
        <w:t xml:space="preserve">les écarts de revenus déjà </w:t>
      </w:r>
      <w:r w:rsidR="00D901D5">
        <w:t xml:space="preserve">considérés comme </w:t>
      </w:r>
      <w:r w:rsidR="0009589C">
        <w:t>excessifs</w:t>
      </w:r>
      <w:r w:rsidR="00D70D5A">
        <w:t>.</w:t>
      </w:r>
      <w:r w:rsidR="009744BB">
        <w:t xml:space="preserve"> </w:t>
      </w:r>
      <w:r w:rsidR="006A2C86">
        <w:t>De la sorte</w:t>
      </w:r>
      <w:r>
        <w:t xml:space="preserve"> se trouve</w:t>
      </w:r>
      <w:r w:rsidR="005825E4">
        <w:t>ro</w:t>
      </w:r>
      <w:r>
        <w:t xml:space="preserve">nt </w:t>
      </w:r>
      <w:r w:rsidR="006A2C86">
        <w:t xml:space="preserve">cependant </w:t>
      </w:r>
      <w:r>
        <w:t>pérennisé</w:t>
      </w:r>
      <w:r w:rsidR="00FC4721">
        <w:t>e</w:t>
      </w:r>
      <w:r>
        <w:t xml:space="preserve">s les mesures supposées exceptionnelles </w:t>
      </w:r>
      <w:r w:rsidR="00D70D5A">
        <w:t xml:space="preserve">et </w:t>
      </w:r>
      <w:r>
        <w:t>mises en place à la suite de la crise d’hyperspéculation</w:t>
      </w:r>
      <w:r w:rsidR="00266EB6">
        <w:t xml:space="preserve"> (« crise </w:t>
      </w:r>
      <w:r w:rsidR="009744BB">
        <w:t xml:space="preserve">dite </w:t>
      </w:r>
      <w:r w:rsidR="00266EB6">
        <w:t>des subprimes »)</w:t>
      </w:r>
      <w:r>
        <w:t xml:space="preserve"> de 2008</w:t>
      </w:r>
      <w:r w:rsidR="005228DA">
        <w:t xml:space="preserve"> sous la férule de Ben Bernanke</w:t>
      </w:r>
      <w:r w:rsidR="009079D8">
        <w:t>, gouverneur de 2005 à 2014</w:t>
      </w:r>
      <w:r w:rsidR="00D70D5A">
        <w:t> : elles ont été</w:t>
      </w:r>
      <w:r w:rsidR="008C0ABF">
        <w:t xml:space="preserve"> </w:t>
      </w:r>
      <w:r w:rsidR="009079D8">
        <w:t xml:space="preserve"> poursuivies</w:t>
      </w:r>
      <w:r w:rsidR="00D22229">
        <w:t xml:space="preserve"> </w:t>
      </w:r>
      <w:r w:rsidR="00D15345">
        <w:t xml:space="preserve"> </w:t>
      </w:r>
      <w:r w:rsidR="00D34779">
        <w:t>sans relâche</w:t>
      </w:r>
      <w:r w:rsidR="005825E4">
        <w:t xml:space="preserve"> et sans retenue</w:t>
      </w:r>
      <w:r w:rsidR="009079D8">
        <w:t xml:space="preserve"> par ses successeurs</w:t>
      </w:r>
      <w:r w:rsidR="008C0ABF">
        <w:t>, Janet Yellen et J</w:t>
      </w:r>
      <w:r w:rsidR="00642AA0">
        <w:t>ay</w:t>
      </w:r>
      <w:r w:rsidR="009079D8">
        <w:t xml:space="preserve"> Powell</w:t>
      </w:r>
      <w:r w:rsidR="0008713E">
        <w:t>, sous la pression des marchés</w:t>
      </w:r>
      <w:r w:rsidR="004651BF">
        <w:t xml:space="preserve"> peu sensibles à la détresse de « Main street »</w:t>
      </w:r>
      <w:r w:rsidR="008A4796">
        <w:t>. La « Fed » continuera</w:t>
      </w:r>
      <w:r w:rsidR="00266EB6">
        <w:t xml:space="preserve"> donc</w:t>
      </w:r>
      <w:r w:rsidR="009C3A75">
        <w:t xml:space="preserve"> au cours des années à venir</w:t>
      </w:r>
      <w:r w:rsidR="008C51F0">
        <w:t xml:space="preserve"> (jusqu’en 2024 ?)</w:t>
      </w:r>
      <w:r w:rsidR="009C3A75">
        <w:t xml:space="preserve"> </w:t>
      </w:r>
      <w:r>
        <w:t>sa politique de « Quantitative Easing »</w:t>
      </w:r>
      <w:r w:rsidR="008C0ABF">
        <w:t>,</w:t>
      </w:r>
      <w:r>
        <w:t xml:space="preserve"> consistant à racheter</w:t>
      </w:r>
      <w:r w:rsidR="00F572C3">
        <w:t xml:space="preserve"> massivement, </w:t>
      </w:r>
      <w:r>
        <w:t>non seulement des obligations publ</w:t>
      </w:r>
      <w:r w:rsidR="000A5DD0">
        <w:t>iques et privées, mais éventuellement</w:t>
      </w:r>
      <w:r>
        <w:t xml:space="preserve"> des actions</w:t>
      </w:r>
      <w:r w:rsidR="00BB62F2">
        <w:t>,</w:t>
      </w:r>
      <w:r>
        <w:t xml:space="preserve"> sur les marchés financiers internationaux. </w:t>
      </w:r>
      <w:r w:rsidR="008772C6">
        <w:t>D’ailleurs, la faiblesse structurelle de la courbe des taux d’intérêt</w:t>
      </w:r>
      <w:r w:rsidR="00D9321A">
        <w:t xml:space="preserve"> dans son ensemble</w:t>
      </w:r>
      <w:r w:rsidR="008772C6">
        <w:t xml:space="preserve"> prive</w:t>
      </w:r>
      <w:r w:rsidR="006A2C86">
        <w:t xml:space="preserve"> d’ores et déjà</w:t>
      </w:r>
      <w:r w:rsidR="008772C6">
        <w:t xml:space="preserve"> les banques centrales</w:t>
      </w:r>
      <w:r w:rsidR="008A4796">
        <w:t>, à commencer par la « Fed »</w:t>
      </w:r>
      <w:r w:rsidR="00D16CB3">
        <w:t>,</w:t>
      </w:r>
      <w:r w:rsidR="00030A2F">
        <w:t xml:space="preserve"> de leur principal levier</w:t>
      </w:r>
      <w:r w:rsidR="008772C6">
        <w:t xml:space="preserve"> d’intervention</w:t>
      </w:r>
      <w:r w:rsidR="009C3A75">
        <w:t xml:space="preserve"> en la matière</w:t>
      </w:r>
      <w:r w:rsidR="00266EB6">
        <w:t xml:space="preserve"> (</w:t>
      </w:r>
      <w:r w:rsidR="00D9321A">
        <w:t xml:space="preserve">objectifs visant la </w:t>
      </w:r>
      <w:r w:rsidR="00266EB6">
        <w:t>« yield curve control »)</w:t>
      </w:r>
      <w:r w:rsidR="009744BB">
        <w:t xml:space="preserve">, comme l’ont </w:t>
      </w:r>
      <w:r w:rsidR="00030A2F">
        <w:t xml:space="preserve">déjà </w:t>
      </w:r>
      <w:r w:rsidR="009744BB">
        <w:t>démontré les expériences hasardeuses conduites</w:t>
      </w:r>
      <w:r w:rsidR="00D9321A">
        <w:t xml:space="preserve"> aux Etats-Unis</w:t>
      </w:r>
      <w:r w:rsidR="009744BB">
        <w:t xml:space="preserve"> en 2013</w:t>
      </w:r>
      <w:r w:rsidR="00FC4721">
        <w:t>.</w:t>
      </w:r>
      <w:r w:rsidR="009C3A75">
        <w:t xml:space="preserve"> </w:t>
      </w:r>
      <w:r w:rsidR="00E860A6">
        <w:t>Depuis le début d</w:t>
      </w:r>
      <w:r w:rsidR="008A4796">
        <w:t>e 2020, la banque centrale américaine</w:t>
      </w:r>
      <w:r w:rsidR="00E860A6">
        <w:t xml:space="preserve"> a dû </w:t>
      </w:r>
      <w:r w:rsidR="005825E4">
        <w:t xml:space="preserve">de ce fait </w:t>
      </w:r>
      <w:r w:rsidR="00E860A6">
        <w:t>augmenter considérablement son total de bilan de 4,2 trillions $ à 7,2 trillions $, fin juin 2020.</w:t>
      </w:r>
      <w:r w:rsidR="00D02A45">
        <w:t xml:space="preserve"> </w:t>
      </w:r>
      <w:r w:rsidR="006A2C86">
        <w:t xml:space="preserve">La BCE et le système bancaire </w:t>
      </w:r>
      <w:r w:rsidR="00BC7C8D">
        <w:t xml:space="preserve">de la zone euro </w:t>
      </w:r>
      <w:r w:rsidR="006A2C86">
        <w:t>a</w:t>
      </w:r>
      <w:r w:rsidR="00BC7C8D">
        <w:t>, jusqu’ici,</w:t>
      </w:r>
      <w:r w:rsidR="006A2C86">
        <w:t xml:space="preserve"> suivi </w:t>
      </w:r>
      <w:r w:rsidR="007712FE">
        <w:t>fidè</w:t>
      </w:r>
      <w:r w:rsidR="00D70D5A">
        <w:t xml:space="preserve">lement </w:t>
      </w:r>
      <w:r w:rsidR="006A2C86">
        <w:t>l</w:t>
      </w:r>
      <w:r w:rsidR="005D1B70">
        <w:t>e</w:t>
      </w:r>
      <w:r w:rsidR="006A2C86">
        <w:t xml:space="preserve"> même </w:t>
      </w:r>
      <w:r w:rsidR="005D1B70">
        <w:t xml:space="preserve">type de </w:t>
      </w:r>
      <w:r w:rsidR="00BC7C8D">
        <w:t>stratégie</w:t>
      </w:r>
      <w:r w:rsidR="007712FE">
        <w:t xml:space="preserve"> monétaire</w:t>
      </w:r>
      <w:r w:rsidR="00E20184">
        <w:t xml:space="preserve"> « accomodante »</w:t>
      </w:r>
      <w:r w:rsidR="005825E4">
        <w:t xml:space="preserve">, </w:t>
      </w:r>
      <w:r w:rsidR="000A4475">
        <w:t xml:space="preserve">en </w:t>
      </w:r>
      <w:r w:rsidR="005825E4">
        <w:t>pours</w:t>
      </w:r>
      <w:r w:rsidR="00BB62F2">
        <w:t>uivant son programme actuel</w:t>
      </w:r>
      <w:r w:rsidR="005825E4">
        <w:t xml:space="preserve"> de « QE » (dit « PSPP »)</w:t>
      </w:r>
      <w:r w:rsidR="000259D3">
        <w:t>.</w:t>
      </w:r>
      <w:r w:rsidR="00727626">
        <w:t xml:space="preserve"> </w:t>
      </w:r>
      <w:r w:rsidR="000259D3">
        <w:t>I</w:t>
      </w:r>
      <w:r w:rsidR="000A4475">
        <w:t>l</w:t>
      </w:r>
      <w:r w:rsidR="005825E4">
        <w:t xml:space="preserve"> viendra s’</w:t>
      </w:r>
      <w:r w:rsidR="000A4475">
        <w:t xml:space="preserve">y </w:t>
      </w:r>
      <w:r w:rsidR="005825E4">
        <w:t>ajouter un programme d’achats ur</w:t>
      </w:r>
      <w:r w:rsidR="00030A2F">
        <w:t>gence pandémie (dit « PEPP »)</w:t>
      </w:r>
      <w:r w:rsidR="000259D3">
        <w:t>, à vocation très large</w:t>
      </w:r>
      <w:r w:rsidR="00030A2F">
        <w:t xml:space="preserve"> qui</w:t>
      </w:r>
      <w:r w:rsidR="000A4475">
        <w:t>,</w:t>
      </w:r>
      <w:r w:rsidR="00030A2F">
        <w:t xml:space="preserve"> à lui seul</w:t>
      </w:r>
      <w:r w:rsidR="000A4475">
        <w:t>,</w:t>
      </w:r>
      <w:r w:rsidR="00030A2F">
        <w:t xml:space="preserve"> s’élève</w:t>
      </w:r>
      <w:r w:rsidR="00D16CB3">
        <w:t>ra</w:t>
      </w:r>
      <w:r w:rsidR="00030A2F">
        <w:t xml:space="preserve"> à</w:t>
      </w:r>
      <w:r w:rsidR="005825E4">
        <w:t xml:space="preserve"> 1.350 milliards € jusqu’en 2021</w:t>
      </w:r>
      <w:r w:rsidR="006A2C86">
        <w:t>.</w:t>
      </w:r>
      <w:r w:rsidR="00E860A6">
        <w:t xml:space="preserve"> </w:t>
      </w:r>
      <w:r w:rsidR="009C3A75">
        <w:t>Juridiquement</w:t>
      </w:r>
      <w:r w:rsidR="008772C6">
        <w:t xml:space="preserve"> indépe</w:t>
      </w:r>
      <w:r w:rsidR="00266EB6">
        <w:t>ndantes des gouvernements, les banques centrales des principales économies occidentales</w:t>
      </w:r>
      <w:r w:rsidR="008772C6">
        <w:t xml:space="preserve"> sont deve</w:t>
      </w:r>
      <w:r w:rsidR="00A96EFD">
        <w:t>nues intrinsèquement tributaires</w:t>
      </w:r>
      <w:r w:rsidR="00D16CB3">
        <w:t>, pour ne pas dire victimes</w:t>
      </w:r>
      <w:r w:rsidR="008772C6">
        <w:t xml:space="preserve"> des marchés financiers internationaux</w:t>
      </w:r>
      <w:r w:rsidR="000A5DD0">
        <w:t>, lesquels sont</w:t>
      </w:r>
      <w:r w:rsidR="005825E4">
        <w:t xml:space="preserve"> supposés absorber des émissions considérables de dettes publiques</w:t>
      </w:r>
      <w:r w:rsidR="00D901D5">
        <w:t xml:space="preserve"> et privées</w:t>
      </w:r>
      <w:r w:rsidR="005825E4">
        <w:t> : ce comportement</w:t>
      </w:r>
      <w:r w:rsidR="008772C6">
        <w:t xml:space="preserve"> </w:t>
      </w:r>
      <w:r w:rsidR="000A0A58">
        <w:t>« mimétique</w:t>
      </w:r>
      <w:r w:rsidR="00D16CB3">
        <w:t xml:space="preserve"> » </w:t>
      </w:r>
      <w:r w:rsidR="00073648">
        <w:t>soulève</w:t>
      </w:r>
      <w:r w:rsidR="008772C6">
        <w:t xml:space="preserve"> un grave problème de légi</w:t>
      </w:r>
      <w:r w:rsidR="00F572C3">
        <w:t>timité</w:t>
      </w:r>
      <w:r w:rsidR="009C3A75">
        <w:t xml:space="preserve"> </w:t>
      </w:r>
      <w:r w:rsidR="00BC7C8D">
        <w:t>en matière d’exercice du pouvoir</w:t>
      </w:r>
      <w:r w:rsidR="009744BB">
        <w:t xml:space="preserve"> </w:t>
      </w:r>
      <w:r w:rsidR="009C3A75">
        <w:t>au plan mondial</w:t>
      </w:r>
      <w:r w:rsidR="008772C6">
        <w:t xml:space="preserve">. </w:t>
      </w:r>
      <w:r w:rsidR="00E860A6">
        <w:t>De lourds</w:t>
      </w:r>
      <w:r w:rsidR="009079D8">
        <w:t xml:space="preserve"> dommages collatéraux </w:t>
      </w:r>
      <w:r w:rsidR="00B37AD2">
        <w:t xml:space="preserve">proviennent </w:t>
      </w:r>
      <w:r w:rsidR="009744BB">
        <w:t xml:space="preserve">en effet </w:t>
      </w:r>
      <w:r w:rsidR="00B37AD2">
        <w:t>de la fiction</w:t>
      </w:r>
      <w:r w:rsidR="009744BB">
        <w:t xml:space="preserve">, </w:t>
      </w:r>
      <w:r w:rsidR="005D1B70">
        <w:t xml:space="preserve">ainsi </w:t>
      </w:r>
      <w:r w:rsidR="009744BB">
        <w:t>artificiellement entretenue</w:t>
      </w:r>
      <w:r w:rsidR="00D00B7A">
        <w:t>,</w:t>
      </w:r>
      <w:r w:rsidR="00B37AD2">
        <w:t xml:space="preserve"> de l’argent gratuit : il s’agit de</w:t>
      </w:r>
      <w:r w:rsidR="009079D8">
        <w:t xml:space="preserve"> la surévaluation </w:t>
      </w:r>
      <w:r w:rsidR="00BC7C8D">
        <w:t xml:space="preserve">continue </w:t>
      </w:r>
      <w:r w:rsidR="009079D8">
        <w:t>des actifs financ</w:t>
      </w:r>
      <w:r w:rsidR="00D9321A">
        <w:t>iers et immobiliers</w:t>
      </w:r>
      <w:r w:rsidR="00BC7C8D">
        <w:t xml:space="preserve"> qui pertu</w:t>
      </w:r>
      <w:r w:rsidR="00B63790">
        <w:t>r</w:t>
      </w:r>
      <w:r w:rsidR="00BC7C8D">
        <w:t>bent la rationalité des choix économiques</w:t>
      </w:r>
      <w:r w:rsidR="00C97942">
        <w:t xml:space="preserve"> des particuliers et des entreprises.</w:t>
      </w:r>
      <w:r w:rsidR="00D9321A">
        <w:t xml:space="preserve"> De son côté, la valeur de</w:t>
      </w:r>
      <w:r w:rsidR="009079D8">
        <w:t xml:space="preserve"> l’or</w:t>
      </w:r>
      <w:r w:rsidR="00BC7C8D">
        <w:t xml:space="preserve"> a doublé depuis</w:t>
      </w:r>
      <w:r w:rsidR="00266EB6">
        <w:t xml:space="preserve"> 10 ans pour atteindre </w:t>
      </w:r>
      <w:r w:rsidR="00D00B7A">
        <w:t xml:space="preserve">un sommet de </w:t>
      </w:r>
      <w:r w:rsidR="00266EB6">
        <w:t>2.000</w:t>
      </w:r>
      <w:r w:rsidR="00D00B7A">
        <w:t xml:space="preserve"> </w:t>
      </w:r>
      <w:r w:rsidR="00266EB6">
        <w:t>$ l’once en août 2020</w:t>
      </w:r>
      <w:r w:rsidR="00D9321A">
        <w:t xml:space="preserve">, après une progression </w:t>
      </w:r>
      <w:r w:rsidR="00BC7C8D">
        <w:t xml:space="preserve">spectaculaire </w:t>
      </w:r>
      <w:r w:rsidR="00D9321A">
        <w:t>de 34% depuis le 1</w:t>
      </w:r>
      <w:r w:rsidR="00D9321A" w:rsidRPr="00D9321A">
        <w:rPr>
          <w:vertAlign w:val="superscript"/>
        </w:rPr>
        <w:t>er</w:t>
      </w:r>
      <w:r w:rsidR="00D9321A">
        <w:t xml:space="preserve"> janvier de cette année</w:t>
      </w:r>
      <w:r w:rsidR="00266EB6">
        <w:t>. L</w:t>
      </w:r>
      <w:r w:rsidR="00AF7238">
        <w:t xml:space="preserve">es effets secondaires des pratiques </w:t>
      </w:r>
      <w:r w:rsidR="00BC7C8D">
        <w:t xml:space="preserve">monétaires </w:t>
      </w:r>
      <w:r w:rsidR="00AF7238">
        <w:t>actuelles</w:t>
      </w:r>
      <w:r w:rsidR="009744BB">
        <w:t xml:space="preserve"> promettent </w:t>
      </w:r>
      <w:r w:rsidR="00030A2F">
        <w:t xml:space="preserve">de la sorte </w:t>
      </w:r>
      <w:r w:rsidR="009744BB">
        <w:t>l’</w:t>
      </w:r>
      <w:r w:rsidR="00E2690F">
        <w:t>écl</w:t>
      </w:r>
      <w:r w:rsidR="00183284">
        <w:t>atement pé</w:t>
      </w:r>
      <w:r w:rsidR="00E2690F">
        <w:t xml:space="preserve">riodique </w:t>
      </w:r>
      <w:r w:rsidR="00B37AD2">
        <w:t xml:space="preserve">de bulles </w:t>
      </w:r>
      <w:r w:rsidR="00266EB6">
        <w:t>spéculatives</w:t>
      </w:r>
      <w:r w:rsidR="00D9321A">
        <w:t xml:space="preserve"> de dimension systémique</w:t>
      </w:r>
      <w:r w:rsidR="00030A2F">
        <w:t xml:space="preserve">. Entrainant de rapides </w:t>
      </w:r>
      <w:r w:rsidR="007E3B23">
        <w:t>dét</w:t>
      </w:r>
      <w:r w:rsidR="00D45DB1">
        <w:t>é</w:t>
      </w:r>
      <w:r w:rsidR="007E3B23">
        <w:t>rioration</w:t>
      </w:r>
      <w:r w:rsidR="00D45DB1">
        <w:t xml:space="preserve">s </w:t>
      </w:r>
      <w:r w:rsidR="007E3B23">
        <w:t xml:space="preserve">de leurs conditions de vie, </w:t>
      </w:r>
      <w:r w:rsidR="00D34779">
        <w:t>ces crises à répétition</w:t>
      </w:r>
      <w:r w:rsidR="00D9321A">
        <w:t xml:space="preserve"> détruisent la confiance des populations</w:t>
      </w:r>
      <w:r w:rsidR="007E3B23">
        <w:t xml:space="preserve"> dans le système économique et financier et </w:t>
      </w:r>
      <w:r w:rsidR="00E2690F">
        <w:t xml:space="preserve">suscitent de violentes critiques </w:t>
      </w:r>
      <w:r w:rsidR="00D34779">
        <w:t xml:space="preserve">à l’égard de </w:t>
      </w:r>
      <w:r w:rsidR="007E3B23">
        <w:t>ses « élites »</w:t>
      </w:r>
      <w:r w:rsidR="007712FE">
        <w:t>,</w:t>
      </w:r>
      <w:r w:rsidR="007E3B23">
        <w:t xml:space="preserve"> </w:t>
      </w:r>
      <w:r w:rsidR="00BC7C8D">
        <w:t xml:space="preserve">volontiers </w:t>
      </w:r>
      <w:r w:rsidR="007E3B23">
        <w:t>taxées</w:t>
      </w:r>
      <w:r w:rsidR="00030A2F">
        <w:t>, parfois à juste titre,</w:t>
      </w:r>
      <w:r w:rsidR="007E3B23">
        <w:t xml:space="preserve"> de </w:t>
      </w:r>
      <w:r w:rsidR="00E2690F">
        <w:t>« </w:t>
      </w:r>
      <w:r w:rsidR="00BC7C8D">
        <w:t>technocrates déconnectés</w:t>
      </w:r>
      <w:r w:rsidR="00E2690F">
        <w:t> »</w:t>
      </w:r>
      <w:r w:rsidR="0009589C">
        <w:t xml:space="preserve"> des réalités quotidiennes</w:t>
      </w:r>
      <w:r w:rsidR="00030A2F">
        <w:t xml:space="preserve"> de leurs compatriotes</w:t>
      </w:r>
      <w:r w:rsidR="009079D8">
        <w:t xml:space="preserve">. </w:t>
      </w:r>
      <w:r w:rsidR="003B5D24">
        <w:t>C</w:t>
      </w:r>
      <w:r w:rsidR="00030A2F">
        <w:t>ette politique a</w:t>
      </w:r>
      <w:r w:rsidR="00BA29DC">
        <w:t>vait</w:t>
      </w:r>
      <w:r w:rsidR="00030A2F">
        <w:t xml:space="preserve"> été</w:t>
      </w:r>
      <w:r>
        <w:t xml:space="preserve"> imposée</w:t>
      </w:r>
      <w:r w:rsidR="00D901D5">
        <w:t xml:space="preserve"> dans l’urgence</w:t>
      </w:r>
      <w:r>
        <w:t xml:space="preserve"> par les </w:t>
      </w:r>
      <w:r w:rsidR="00FA523A">
        <w:t xml:space="preserve">graves </w:t>
      </w:r>
      <w:r>
        <w:t>méfaits qu’avaient engendré</w:t>
      </w:r>
      <w:r w:rsidR="00D00B7A">
        <w:t>s</w:t>
      </w:r>
      <w:r>
        <w:t xml:space="preserve"> les comportements ab</w:t>
      </w:r>
      <w:r w:rsidR="00622AD2">
        <w:t>errants de nombreux</w:t>
      </w:r>
      <w:r>
        <w:t xml:space="preserve"> opérateurs financiers </w:t>
      </w:r>
      <w:r w:rsidR="004929DE">
        <w:t xml:space="preserve">des salles de marchés </w:t>
      </w:r>
      <w:r>
        <w:t>sur les produits dérivés</w:t>
      </w:r>
      <w:r w:rsidR="008772C6">
        <w:t xml:space="preserve"> (v</w:t>
      </w:r>
      <w:r w:rsidR="000A4475">
        <w:t>ia notamment l’effet viral d’une</w:t>
      </w:r>
      <w:r w:rsidR="008772C6">
        <w:t xml:space="preserve"> titrisation</w:t>
      </w:r>
      <w:r w:rsidR="00CE7C55">
        <w:t xml:space="preserve"> toxique</w:t>
      </w:r>
      <w:r w:rsidR="008772C6">
        <w:t>)</w:t>
      </w:r>
      <w:r w:rsidR="00BC7C8D">
        <w:t>,</w:t>
      </w:r>
      <w:r w:rsidR="00B37AD2">
        <w:t xml:space="preserve"> au cours de la première décennie du XXIème siècle</w:t>
      </w:r>
      <w:r w:rsidR="00030A2F">
        <w:t xml:space="preserve"> : les moyens considérables mis en </w:t>
      </w:r>
      <w:r w:rsidR="003B5D24">
        <w:t xml:space="preserve">œuvre par les banques centrales n’ont pas permis </w:t>
      </w:r>
      <w:r w:rsidR="00D901D5">
        <w:t xml:space="preserve">jusqu’ici </w:t>
      </w:r>
      <w:r w:rsidR="003B5D24">
        <w:t>de réduire substantiellement la vulnérabi</w:t>
      </w:r>
      <w:r w:rsidR="00D16CB3">
        <w:t>lité du système financier dans son ensemble</w:t>
      </w:r>
      <w:r w:rsidR="003B5D24">
        <w:t>. Les laborieux efforts engagés pour réduire les risques systémiques ne paraissent pas</w:t>
      </w:r>
      <w:r w:rsidR="00D16CB3">
        <w:t xml:space="preserve"> à la hauteur</w:t>
      </w:r>
      <w:r w:rsidR="006D2FF2">
        <w:t xml:space="preserve"> </w:t>
      </w:r>
      <w:r w:rsidR="00D16CB3">
        <w:t>des en</w:t>
      </w:r>
      <w:r w:rsidR="000A4475">
        <w:t xml:space="preserve">jeux </w:t>
      </w:r>
      <w:r w:rsidR="00D16CB3">
        <w:t>d’hier et d’aujourd’hui</w:t>
      </w:r>
      <w:r w:rsidR="009C3A75">
        <w:t xml:space="preserve"> (Cf</w:t>
      </w:r>
      <w:r w:rsidR="007E3B23">
        <w:t>.</w:t>
      </w:r>
      <w:r w:rsidR="006D2FF2">
        <w:t xml:space="preserve"> </w:t>
      </w:r>
      <w:r w:rsidR="00BC7C8D">
        <w:t>Allemagned’</w:t>
      </w:r>
      <w:r w:rsidR="009C3A75">
        <w:t>A</w:t>
      </w:r>
      <w:r w:rsidR="00BC7C8D">
        <w:t>ujourd’hui</w:t>
      </w:r>
      <w:r w:rsidR="00A96EFD">
        <w:t>-Avril-Juin</w:t>
      </w:r>
      <w:r w:rsidR="00E860A6">
        <w:t>2009 : </w:t>
      </w:r>
      <w:r w:rsidR="00252C2F">
        <w:t>« L’Allemagne et la France face à la crise d’hyperspéculation globale »</w:t>
      </w:r>
      <w:r w:rsidR="009C3A75">
        <w:t>)</w:t>
      </w:r>
      <w:r w:rsidR="007E3B23">
        <w:t>. L</w:t>
      </w:r>
      <w:r w:rsidR="008772C6">
        <w:t xml:space="preserve">es </w:t>
      </w:r>
      <w:r w:rsidR="007E3B23">
        <w:t xml:space="preserve">dernières statistiques </w:t>
      </w:r>
      <w:r w:rsidR="008772C6">
        <w:t>de la Banque des Règlements Internationaux (BRI)</w:t>
      </w:r>
      <w:r w:rsidR="00D34779">
        <w:t>,</w:t>
      </w:r>
      <w:r w:rsidR="007E3B23">
        <w:t xml:space="preserve"> publiées en mai 2020</w:t>
      </w:r>
      <w:r w:rsidR="00D34779">
        <w:t>,</w:t>
      </w:r>
      <w:r w:rsidR="007E3B23">
        <w:t xml:space="preserve"> suggèrent</w:t>
      </w:r>
      <w:r w:rsidR="00B37AD2">
        <w:t xml:space="preserve"> </w:t>
      </w:r>
      <w:r w:rsidR="008772C6">
        <w:t>que ces</w:t>
      </w:r>
      <w:r w:rsidR="00F572C3">
        <w:t xml:space="preserve"> types d’</w:t>
      </w:r>
      <w:r w:rsidR="007E3B23">
        <w:t xml:space="preserve">abus </w:t>
      </w:r>
      <w:r w:rsidR="005D1B70">
        <w:t>potentiels restent d’actualité, notamment</w:t>
      </w:r>
      <w:r w:rsidR="007712FE">
        <w:t xml:space="preserve"> sur les opérations de gré-à-</w:t>
      </w:r>
      <w:r w:rsidR="007E3B23">
        <w:t xml:space="preserve">gré réalisées </w:t>
      </w:r>
      <w:r w:rsidR="007E3B23">
        <w:lastRenderedPageBreak/>
        <w:t xml:space="preserve">par les traders </w:t>
      </w:r>
      <w:r w:rsidR="00CE7C55">
        <w:t>sur produits dérivés (« OTC » :</w:t>
      </w:r>
      <w:r w:rsidR="00D01B0B">
        <w:t xml:space="preserve"> </w:t>
      </w:r>
      <w:r w:rsidR="007E3B23">
        <w:t xml:space="preserve">« Over the Counter »). </w:t>
      </w:r>
      <w:r w:rsidR="00023AD8">
        <w:t xml:space="preserve"> Les apprentis- sorciers n’ont pas disparu de la sphère financière, même si beaucoup d’entre eux ont été remplacés par les robots programmés par de complexes algorithmes</w:t>
      </w:r>
      <w:r w:rsidR="001F5B59">
        <w:t xml:space="preserve"> combinant « data mining » et intelligence artificielle. Dans certains cas, le trading haute fréquence </w:t>
      </w:r>
      <w:r w:rsidR="004651BF">
        <w:t>alimente</w:t>
      </w:r>
      <w:r w:rsidR="00D22229">
        <w:t xml:space="preserve"> </w:t>
      </w:r>
      <w:r w:rsidR="004651BF">
        <w:t>en dehors de tout contrôle d</w:t>
      </w:r>
      <w:r w:rsidR="001F5B59">
        <w:t xml:space="preserve">es volumes </w:t>
      </w:r>
      <w:r w:rsidR="004651BF">
        <w:t xml:space="preserve">aberrants </w:t>
      </w:r>
      <w:r w:rsidR="001F5B59">
        <w:t>de transactions</w:t>
      </w:r>
      <w:r w:rsidR="004651BF">
        <w:t xml:space="preserve"> potentielles</w:t>
      </w:r>
      <w:r w:rsidR="001F5B59">
        <w:t xml:space="preserve">. </w:t>
      </w:r>
      <w:r w:rsidR="007E3B23">
        <w:t xml:space="preserve">Les montants des </w:t>
      </w:r>
      <w:r w:rsidR="00D01B0B">
        <w:t>« </w:t>
      </w:r>
      <w:r w:rsidR="007E3B23">
        <w:t>nominaux notionnels</w:t>
      </w:r>
      <w:r w:rsidR="00D01B0B">
        <w:t> »</w:t>
      </w:r>
      <w:r w:rsidR="008772C6">
        <w:t xml:space="preserve"> sur les marchés dérivés </w:t>
      </w:r>
      <w:r w:rsidR="00D34779">
        <w:t>de</w:t>
      </w:r>
      <w:r w:rsidR="007E3B23">
        <w:t xml:space="preserve"> devises </w:t>
      </w:r>
      <w:r w:rsidR="008772C6">
        <w:t>n</w:t>
      </w:r>
      <w:r w:rsidR="007E3B23">
        <w:t>e cessent de croî</w:t>
      </w:r>
      <w:r w:rsidR="008772C6">
        <w:t>tre</w:t>
      </w:r>
      <w:r w:rsidR="00D00B7A">
        <w:t>,</w:t>
      </w:r>
      <w:r w:rsidR="007E3B23">
        <w:t xml:space="preserve"> </w:t>
      </w:r>
      <w:r w:rsidR="00F572C3">
        <w:t xml:space="preserve">dans des proportions que ne justifient pas les besoins </w:t>
      </w:r>
      <w:r w:rsidR="004929DE">
        <w:t xml:space="preserve">réels </w:t>
      </w:r>
      <w:r w:rsidR="00F572C3">
        <w:t>de couverture</w:t>
      </w:r>
      <w:r w:rsidR="00B37AD2">
        <w:t xml:space="preserve"> des transactions réelles</w:t>
      </w:r>
      <w:r w:rsidR="00D34779">
        <w:t xml:space="preserve"> (72 trillions $ US </w:t>
      </w:r>
      <w:r w:rsidR="007E3B23">
        <w:t>fin 2019)</w:t>
      </w:r>
      <w:r w:rsidR="008772C6">
        <w:t>.</w:t>
      </w:r>
      <w:r w:rsidR="00D00B7A">
        <w:t xml:space="preserve"> Il s’agit de fait</w:t>
      </w:r>
      <w:r w:rsidR="00B37AD2">
        <w:t xml:space="preserve"> de pratiques</w:t>
      </w:r>
      <w:r w:rsidR="00B12E2E">
        <w:t xml:space="preserve"> spéculatives à</w:t>
      </w:r>
      <w:r w:rsidR="00F572C3">
        <w:t xml:space="preserve"> </w:t>
      </w:r>
      <w:r w:rsidR="006D2FF2">
        <w:t xml:space="preserve">hauts </w:t>
      </w:r>
      <w:r w:rsidR="00F572C3">
        <w:t xml:space="preserve">risques </w:t>
      </w:r>
      <w:r w:rsidR="00D00B7A">
        <w:t xml:space="preserve">perdurant </w:t>
      </w:r>
      <w:r w:rsidR="00F572C3">
        <w:t>au sein</w:t>
      </w:r>
      <w:r w:rsidR="005D1B70">
        <w:t>-même</w:t>
      </w:r>
      <w:r w:rsidR="00F572C3">
        <w:t xml:space="preserve"> du système bancaire of</w:t>
      </w:r>
      <w:r w:rsidR="005D1B70">
        <w:t>ficiel. Les accidents éventuels</w:t>
      </w:r>
      <w:r w:rsidR="00D00B7A">
        <w:t xml:space="preserve"> visant</w:t>
      </w:r>
      <w:r w:rsidR="009C3A75">
        <w:t xml:space="preserve"> des ban</w:t>
      </w:r>
      <w:r w:rsidR="009079D8">
        <w:t xml:space="preserve">ques systémiques restent </w:t>
      </w:r>
      <w:r w:rsidR="00B37AD2">
        <w:t xml:space="preserve">ainsi </w:t>
      </w:r>
      <w:r w:rsidR="005D1B70">
        <w:t>probables</w:t>
      </w:r>
      <w:r w:rsidR="009C3A75">
        <w:t xml:space="preserve"> comme l’illustre le bilan</w:t>
      </w:r>
      <w:r w:rsidR="00252C2F">
        <w:t xml:space="preserve"> décevant de la Deutsche Bank (C</w:t>
      </w:r>
      <w:r w:rsidR="009C3A75">
        <w:t>f</w:t>
      </w:r>
      <w:r w:rsidR="00D34779">
        <w:t xml:space="preserve">. </w:t>
      </w:r>
      <w:r w:rsidR="00BC7C8D">
        <w:t>Allemagne d’Aujourd’hui</w:t>
      </w:r>
      <w:r w:rsidR="00252C2F">
        <w:t xml:space="preserve">-Octobre-Décembre 2016 : « Deutsche Bank, un maillon faible dans un univers financier à hauts risques ? » et </w:t>
      </w:r>
      <w:r w:rsidR="00BC7C8D">
        <w:t>Allemagne d’Aujourd’hui</w:t>
      </w:r>
      <w:r w:rsidR="00946E3A">
        <w:t>-</w:t>
      </w:r>
      <w:r w:rsidR="00252C2F">
        <w:t>Avril-Juin 2017 : « Actualité de la Deutsche Bank »)</w:t>
      </w:r>
      <w:r w:rsidR="009C3A75">
        <w:t xml:space="preserve"> depuis 2008.</w:t>
      </w:r>
      <w:r w:rsidR="00073648">
        <w:t xml:space="preserve"> A titre d’exemple en</w:t>
      </w:r>
      <w:r w:rsidR="00D00B7A">
        <w:t xml:space="preserve"> France, la S</w:t>
      </w:r>
      <w:r w:rsidR="00D34779">
        <w:t>ociété G</w:t>
      </w:r>
      <w:r w:rsidR="00334ADE">
        <w:t xml:space="preserve">énérale, victime des agissements </w:t>
      </w:r>
      <w:r w:rsidR="00D00B7A">
        <w:t>du trader Jérôme Kerviel</w:t>
      </w:r>
      <w:r w:rsidR="00D34779">
        <w:t xml:space="preserve"> du fait</w:t>
      </w:r>
      <w:r w:rsidR="00252C2F">
        <w:t xml:space="preserve"> de graves défauts de contrôle interne</w:t>
      </w:r>
      <w:r w:rsidR="00BC7C8D">
        <w:t xml:space="preserve"> dans ses salles de marchés</w:t>
      </w:r>
      <w:r w:rsidR="00252C2F">
        <w:t>, a</w:t>
      </w:r>
      <w:r w:rsidR="00D00B7A">
        <w:t xml:space="preserve"> perdu 9</w:t>
      </w:r>
      <w:r w:rsidR="00334ADE">
        <w:t>0% de</w:t>
      </w:r>
      <w:r w:rsidR="001430A6">
        <w:t xml:space="preserve"> sa valeur boursière depuis 10 ans</w:t>
      </w:r>
      <w:r w:rsidR="00B12E2E">
        <w:t xml:space="preserve">, creusant une décote </w:t>
      </w:r>
      <w:r w:rsidR="00073869">
        <w:t>inquiétante</w:t>
      </w:r>
      <w:r w:rsidR="00B12E2E">
        <w:t xml:space="preserve"> par rapport à ses fonds propres</w:t>
      </w:r>
      <w:r w:rsidR="00334ADE">
        <w:t>.</w:t>
      </w:r>
      <w:r w:rsidR="008772C6">
        <w:t xml:space="preserve"> </w:t>
      </w:r>
      <w:r w:rsidR="00DB63C1">
        <w:t>De son côté, la Deutsche Bank, suite à ses aventures spéculatives dans les marchés dérivés est gratifiée d’une valeur boursière à peine égale au tiers de ses actifs nets « tangibles ».</w:t>
      </w:r>
      <w:r w:rsidR="006D2FF2">
        <w:t xml:space="preserve"> Ces banques systémiques ont en commun</w:t>
      </w:r>
      <w:r w:rsidR="00C212DB">
        <w:t>, parmi d’autres,</w:t>
      </w:r>
      <w:r w:rsidR="006D2FF2">
        <w:t xml:space="preserve"> de devoir supporter des amendes considérables liées à des activités répréhensibles, d’envisager des structures de « defeasance » pour évacuer leurs actifs « pourris » et d’agiter les spectres de fusions plus ou moins consenties.</w:t>
      </w:r>
      <w:r w:rsidR="006B0BE5">
        <w:t xml:space="preserve"> Comme le faisait récemment observer Jamie Diamond, président de J.P.</w:t>
      </w:r>
      <w:r w:rsidR="00674615">
        <w:t xml:space="preserve"> </w:t>
      </w:r>
      <w:r w:rsidR="006B0BE5">
        <w:t>Morgan</w:t>
      </w:r>
      <w:r w:rsidR="00674615">
        <w:t>-</w:t>
      </w:r>
      <w:r w:rsidR="006B0BE5">
        <w:t>Chase, à ses pairs, ces « dinosaures »</w:t>
      </w:r>
      <w:r w:rsidR="00674615">
        <w:t>,</w:t>
      </w:r>
      <w:r w:rsidR="006B0BE5">
        <w:t xml:space="preserve"> </w:t>
      </w:r>
      <w:r w:rsidR="00674615">
        <w:t xml:space="preserve">particulièrement </w:t>
      </w:r>
      <w:r w:rsidR="006B0BE5">
        <w:t>vulnérables au climat des  affaires</w:t>
      </w:r>
      <w:r w:rsidR="00674615">
        <w:t>,</w:t>
      </w:r>
      <w:r w:rsidR="006B0BE5">
        <w:t xml:space="preserve">  ne </w:t>
      </w:r>
      <w:r w:rsidR="00674615">
        <w:t>resteront</w:t>
      </w:r>
      <w:r w:rsidR="006B0BE5">
        <w:t xml:space="preserve"> pas des cas isolés</w:t>
      </w:r>
      <w:r w:rsidR="00674615">
        <w:t xml:space="preserve"> (« Sibos » on line</w:t>
      </w:r>
      <w:r w:rsidR="00CC6636">
        <w:t xml:space="preserve"> </w:t>
      </w:r>
      <w:r w:rsidR="00674615">
        <w:t>-</w:t>
      </w:r>
      <w:r w:rsidR="00CC6636">
        <w:t xml:space="preserve"> </w:t>
      </w:r>
      <w:r w:rsidR="00674615">
        <w:t>8 au 10.10. 2020)</w:t>
      </w:r>
      <w:r w:rsidR="006B0BE5">
        <w:t>.</w:t>
      </w:r>
    </w:p>
    <w:p w14:paraId="67176C5D" w14:textId="77777777" w:rsidR="00E83E8D" w:rsidRDefault="00E83E8D" w:rsidP="00E82199">
      <w:pPr>
        <w:jc w:val="both"/>
      </w:pPr>
    </w:p>
    <w:p w14:paraId="0E74BB75" w14:textId="7FABD56D" w:rsidR="00C212DB" w:rsidRDefault="008772C6" w:rsidP="00E82199">
      <w:pPr>
        <w:jc w:val="both"/>
      </w:pPr>
      <w:r>
        <w:t xml:space="preserve">La </w:t>
      </w:r>
      <w:r w:rsidR="00946E3A">
        <w:t>« </w:t>
      </w:r>
      <w:r>
        <w:t>BCE</w:t>
      </w:r>
      <w:r w:rsidR="00946E3A">
        <w:t> »</w:t>
      </w:r>
      <w:r>
        <w:t xml:space="preserve"> et les banques centrales européennes se trouvent donc à la croisée des chemins</w:t>
      </w:r>
      <w:r w:rsidR="00BB62F2">
        <w:t xml:space="preserve"> dans un monde devenant</w:t>
      </w:r>
      <w:r w:rsidR="00334ADE">
        <w:t xml:space="preserve"> à la fois global et</w:t>
      </w:r>
      <w:r w:rsidR="004929DE">
        <w:t xml:space="preserve"> multipolaire</w:t>
      </w:r>
      <w:r w:rsidR="00334ADE">
        <w:t>, tant sur le plan politique</w:t>
      </w:r>
      <w:r w:rsidR="00E2690F">
        <w:t xml:space="preserve"> et tec</w:t>
      </w:r>
      <w:r w:rsidR="00183284">
        <w:t>h</w:t>
      </w:r>
      <w:r w:rsidR="00E2690F">
        <w:t>nologique</w:t>
      </w:r>
      <w:r w:rsidR="00334ADE">
        <w:t xml:space="preserve"> qu’économique</w:t>
      </w:r>
      <w:r w:rsidR="00D00B7A">
        <w:t xml:space="preserve"> et social</w:t>
      </w:r>
      <w:r>
        <w:t xml:space="preserve">. La solution de facilité consiste </w:t>
      </w:r>
      <w:r w:rsidR="009C3A75">
        <w:t xml:space="preserve">pour elles </w:t>
      </w:r>
      <w:r>
        <w:t>à emboiter le pa</w:t>
      </w:r>
      <w:r w:rsidR="00334ADE">
        <w:t>s à la « Fed », abandonnant un faible</w:t>
      </w:r>
      <w:r>
        <w:t xml:space="preserve"> espoir de so</w:t>
      </w:r>
      <w:r w:rsidR="00334ADE">
        <w:t>uveraineté</w:t>
      </w:r>
      <w:r w:rsidR="007712FE">
        <w:t xml:space="preserve"> culturelle et politique : ce mimétisme confirmerai</w:t>
      </w:r>
      <w:r w:rsidR="00BC7C8D">
        <w:t>t</w:t>
      </w:r>
      <w:r>
        <w:t xml:space="preserve"> </w:t>
      </w:r>
      <w:r w:rsidR="00E860A6">
        <w:t xml:space="preserve">ainsi </w:t>
      </w:r>
      <w:r w:rsidR="00E2690F">
        <w:t>l’inféodation</w:t>
      </w:r>
      <w:r w:rsidR="00946E3A">
        <w:t xml:space="preserve"> de l’Europe en tant que</w:t>
      </w:r>
      <w:r>
        <w:t xml:space="preserve"> marché captif des Etats-Unis</w:t>
      </w:r>
      <w:r w:rsidR="00F572C3">
        <w:t xml:space="preserve"> dans les domaines commerciaux</w:t>
      </w:r>
      <w:r w:rsidR="000259D3">
        <w:t>, industriels et</w:t>
      </w:r>
      <w:r w:rsidR="00F572C3">
        <w:t xml:space="preserve"> financie</w:t>
      </w:r>
      <w:r w:rsidR="000259D3">
        <w:t>rs</w:t>
      </w:r>
      <w:r>
        <w:t>.</w:t>
      </w:r>
      <w:r w:rsidR="00622AD2">
        <w:t xml:space="preserve"> </w:t>
      </w:r>
      <w:r w:rsidR="00FC4721">
        <w:t>En maintenant, par des artifices comptables</w:t>
      </w:r>
      <w:r w:rsidR="009C3A75">
        <w:t xml:space="preserve"> dangereux</w:t>
      </w:r>
      <w:r w:rsidR="00B37AD2">
        <w:t>,</w:t>
      </w:r>
      <w:r w:rsidR="00F572C3">
        <w:t xml:space="preserve"> mal maîtrisés</w:t>
      </w:r>
      <w:r w:rsidR="00FC4721">
        <w:t xml:space="preserve">, </w:t>
      </w:r>
      <w:r w:rsidR="00B37AD2">
        <w:t xml:space="preserve">et sans issues prévisibles, </w:t>
      </w:r>
      <w:r w:rsidR="00FC4721">
        <w:t xml:space="preserve">une stratégie de taux bas à long terme, les autorités monétaires </w:t>
      </w:r>
      <w:r w:rsidR="004929DE">
        <w:t xml:space="preserve">occidentales </w:t>
      </w:r>
      <w:r w:rsidR="00BC7C8D">
        <w:t xml:space="preserve">condamneraient </w:t>
      </w:r>
      <w:r w:rsidR="00AF7238">
        <w:t>ainsi</w:t>
      </w:r>
      <w:r w:rsidR="00D45DB1">
        <w:t xml:space="preserve"> </w:t>
      </w:r>
      <w:r w:rsidR="00FC4721">
        <w:t>l</w:t>
      </w:r>
      <w:r w:rsidR="004929DE">
        <w:t>a rémunération</w:t>
      </w:r>
      <w:r w:rsidR="009C3A75">
        <w:t xml:space="preserve"> de l</w:t>
      </w:r>
      <w:r w:rsidR="00C213CE">
        <w:t xml:space="preserve">’épargne </w:t>
      </w:r>
      <w:r w:rsidR="00BC7C8D">
        <w:t>à la portion congrue en fragilisant</w:t>
      </w:r>
      <w:r w:rsidR="00C213CE">
        <w:t xml:space="preserve"> le por</w:t>
      </w:r>
      <w:r w:rsidR="00E2690F">
        <w:t>tefeuille de l’épargnant moyen,</w:t>
      </w:r>
      <w:r w:rsidR="00C213CE">
        <w:t xml:space="preserve"> « l’average common investor »</w:t>
      </w:r>
      <w:r w:rsidR="00A96EFD">
        <w:t>,</w:t>
      </w:r>
      <w:r w:rsidR="00C213CE">
        <w:t xml:space="preserve"> qualifié </w:t>
      </w:r>
      <w:r w:rsidR="00A96EFD">
        <w:t xml:space="preserve">en bon français </w:t>
      </w:r>
      <w:r w:rsidR="000E0ED1">
        <w:t>de « v</w:t>
      </w:r>
      <w:r w:rsidR="002A1819">
        <w:t>euve de Carpentras », voire</w:t>
      </w:r>
      <w:r w:rsidR="00946E3A">
        <w:t xml:space="preserve"> </w:t>
      </w:r>
      <w:r w:rsidR="00C213CE">
        <w:t>de « den</w:t>
      </w:r>
      <w:r w:rsidR="00BC7C8D">
        <w:t>tiste belge » outre-Quiévrain. Par ailleurs, c</w:t>
      </w:r>
      <w:r w:rsidR="00C213CE">
        <w:t>es pratiques monétaires aventureuses</w:t>
      </w:r>
      <w:r w:rsidR="00FC4721">
        <w:t xml:space="preserve"> mettent à mal la rentabilité des opérations</w:t>
      </w:r>
      <w:r w:rsidR="009C3A75">
        <w:t xml:space="preserve"> de crédit</w:t>
      </w:r>
      <w:r w:rsidR="00B12E2E">
        <w:t>s</w:t>
      </w:r>
      <w:r w:rsidR="00FC4721">
        <w:t xml:space="preserve"> bancaires</w:t>
      </w:r>
      <w:r w:rsidR="003B5D24">
        <w:t xml:space="preserve"> et la solvabilité des institutions</w:t>
      </w:r>
      <w:r w:rsidR="00BC7C8D">
        <w:t xml:space="preserve"> qui </w:t>
      </w:r>
      <w:r w:rsidR="003B5D24">
        <w:t>devraient couvrir</w:t>
      </w:r>
      <w:r w:rsidR="00BC7C8D">
        <w:t xml:space="preserve"> les besoins normaux de</w:t>
      </w:r>
      <w:r w:rsidR="00B37AD2">
        <w:t xml:space="preserve"> l’économie et de l’emploi</w:t>
      </w:r>
      <w:r w:rsidR="00D70D5A">
        <w:t>. La perte de confiance engendrée de ce fait,</w:t>
      </w:r>
      <w:r w:rsidR="00FC4721">
        <w:t xml:space="preserve"> </w:t>
      </w:r>
      <w:r w:rsidR="004929DE">
        <w:t>de la part</w:t>
      </w:r>
      <w:r w:rsidR="009C3A75">
        <w:t xml:space="preserve"> des entreprises et des particuliers</w:t>
      </w:r>
      <w:r w:rsidR="00D70D5A">
        <w:t>,</w:t>
      </w:r>
      <w:r w:rsidR="009C3A75">
        <w:t xml:space="preserve"> </w:t>
      </w:r>
      <w:r w:rsidR="00D70D5A">
        <w:t xml:space="preserve">conduit </w:t>
      </w:r>
      <w:r w:rsidR="00FC4721">
        <w:t xml:space="preserve">paradoxalement </w:t>
      </w:r>
      <w:r w:rsidR="00D70D5A">
        <w:t xml:space="preserve">à </w:t>
      </w:r>
      <w:r w:rsidR="00FC4721">
        <w:t>un excès d’épargne</w:t>
      </w:r>
      <w:r w:rsidR="00F572C3">
        <w:t xml:space="preserve"> de précaution</w:t>
      </w:r>
      <w:r w:rsidR="00FC4721">
        <w:t xml:space="preserve"> à la fois mal rém</w:t>
      </w:r>
      <w:r w:rsidR="009C3A75">
        <w:t xml:space="preserve">unérée et détournée des </w:t>
      </w:r>
      <w:r w:rsidR="00BB62F2">
        <w:t>investissements les plus opportuns</w:t>
      </w:r>
      <w:r w:rsidR="00B12E2E">
        <w:t xml:space="preserve"> dans l’économie réelle</w:t>
      </w:r>
      <w:r w:rsidR="009C3A75">
        <w:t>,</w:t>
      </w:r>
      <w:r w:rsidR="00B12E2E">
        <w:t xml:space="preserve"> </w:t>
      </w:r>
      <w:r w:rsidR="00622AD2">
        <w:t>en Europe</w:t>
      </w:r>
      <w:r w:rsidR="00B12E2E">
        <w:t xml:space="preserve"> comme ailleurs</w:t>
      </w:r>
      <w:r w:rsidR="00FC4721">
        <w:t xml:space="preserve">. Cette prise de conscience </w:t>
      </w:r>
      <w:r w:rsidR="009C3A75">
        <w:t xml:space="preserve">tardive </w:t>
      </w:r>
      <w:r w:rsidR="00FC4721">
        <w:t>reste</w:t>
      </w:r>
      <w:r w:rsidR="00D70D5A">
        <w:t>r</w:t>
      </w:r>
      <w:r w:rsidR="0009589C">
        <w:t>a</w:t>
      </w:r>
      <w:r w:rsidR="00FC4721">
        <w:t xml:space="preserve"> sans effet tant que le conformisme </w:t>
      </w:r>
      <w:r w:rsidR="00622AD2">
        <w:t xml:space="preserve">institutionnel </w:t>
      </w:r>
      <w:r w:rsidR="00FC4721">
        <w:t>prend</w:t>
      </w:r>
      <w:r w:rsidR="009C3A75">
        <w:t>ra</w:t>
      </w:r>
      <w:r w:rsidR="00F572C3">
        <w:t xml:space="preserve"> le pas sur</w:t>
      </w:r>
      <w:r w:rsidR="0009589C">
        <w:t xml:space="preserve"> la responsabilité</w:t>
      </w:r>
      <w:r w:rsidR="00F572C3">
        <w:t xml:space="preserve"> civique des responsables de </w:t>
      </w:r>
      <w:r w:rsidR="004929DE">
        <w:t xml:space="preserve">la politique </w:t>
      </w:r>
      <w:r w:rsidR="00AF7238">
        <w:t xml:space="preserve">financière et </w:t>
      </w:r>
      <w:r w:rsidR="0009589C">
        <w:t>monétaire à l’égard de leurs compatriotes</w:t>
      </w:r>
      <w:r w:rsidR="003B5D24">
        <w:t>.</w:t>
      </w:r>
      <w:r w:rsidR="00A519B2">
        <w:t xml:space="preserve"> Il y va de leur crédibilité personnelle </w:t>
      </w:r>
      <w:r w:rsidR="00B16343">
        <w:t>en matière d’</w:t>
      </w:r>
      <w:r w:rsidR="00C0633E">
        <w:t>éthique</w:t>
      </w:r>
      <w:r w:rsidR="00B16343">
        <w:t xml:space="preserve"> de la responsabilité dont les </w:t>
      </w:r>
      <w:r w:rsidR="0023033A">
        <w:t>défauts</w:t>
      </w:r>
      <w:r w:rsidR="00B16343">
        <w:t xml:space="preserve"> seront inévitablement perçues sur un plan social</w:t>
      </w:r>
      <w:r w:rsidR="00A519B2">
        <w:t xml:space="preserve"> et politique.</w:t>
      </w:r>
      <w:r w:rsidR="003B5D24">
        <w:t xml:space="preserve"> I</w:t>
      </w:r>
      <w:r w:rsidR="00B12E2E">
        <w:t xml:space="preserve">l s’agit en effet de s’opposer </w:t>
      </w:r>
      <w:r w:rsidR="003B5D24">
        <w:t>fermement</w:t>
      </w:r>
      <w:r w:rsidR="0009589C">
        <w:t xml:space="preserve"> </w:t>
      </w:r>
      <w:r w:rsidR="00DB63C1">
        <w:t xml:space="preserve">aux pressions </w:t>
      </w:r>
      <w:r w:rsidR="00B12E2E">
        <w:t>de puissants « lobbies »</w:t>
      </w:r>
      <w:r w:rsidR="0023033A">
        <w:t>, nationaux ou</w:t>
      </w:r>
      <w:r w:rsidR="00B12E2E">
        <w:t xml:space="preserve"> </w:t>
      </w:r>
      <w:r w:rsidR="00E2690F">
        <w:t xml:space="preserve">transnationaux </w:t>
      </w:r>
      <w:r w:rsidR="00B12E2E">
        <w:t>qui son</w:t>
      </w:r>
      <w:r w:rsidR="00D34779">
        <w:t>t à la manœuvre</w:t>
      </w:r>
      <w:r w:rsidR="002A1819">
        <w:t xml:space="preserve"> pour défendre leurs intérêts à court terme</w:t>
      </w:r>
      <w:r w:rsidR="00D34779">
        <w:t xml:space="preserve"> au sommet</w:t>
      </w:r>
      <w:r w:rsidR="00B12E2E">
        <w:t xml:space="preserve"> des sphères </w:t>
      </w:r>
      <w:r w:rsidR="00C213CE">
        <w:t>politiques</w:t>
      </w:r>
      <w:r w:rsidR="00D70D5A">
        <w:t xml:space="preserve"> concernées</w:t>
      </w:r>
      <w:r w:rsidR="00062EAE">
        <w:t xml:space="preserve">. </w:t>
      </w:r>
      <w:r w:rsidR="00DB63C1">
        <w:t>Le paradoxe veut que les acteurs publics figurent parmi les premiers intéressés par l</w:t>
      </w:r>
      <w:r w:rsidR="00BB5BDE">
        <w:t xml:space="preserve">a perpétuation du </w:t>
      </w:r>
      <w:r w:rsidR="00DB63C1">
        <w:t xml:space="preserve"> mirage de l’argent gratuit</w:t>
      </w:r>
      <w:r w:rsidR="00097263">
        <w:t xml:space="preserve"> </w:t>
      </w:r>
      <w:r w:rsidR="003870B5">
        <w:t>…</w:t>
      </w:r>
      <w:r w:rsidR="00DB63C1">
        <w:t xml:space="preserve"> </w:t>
      </w:r>
      <w:r w:rsidR="00097263">
        <w:t xml:space="preserve">pour financer à bon compte leurs propres déficits. </w:t>
      </w:r>
      <w:r w:rsidR="00DB63C1">
        <w:t>Il s’agit donc d’un véritable stress</w:t>
      </w:r>
      <w:r w:rsidR="00BB5BDE">
        <w:t>-test psychologique des grands argentiers si fiers de leur indépendance souveraine</w:t>
      </w:r>
      <w:r w:rsidR="003870B5">
        <w:t xml:space="preserve"> à </w:t>
      </w:r>
      <w:r w:rsidR="003870B5">
        <w:lastRenderedPageBreak/>
        <w:t>l’égard des gouvernements</w:t>
      </w:r>
      <w:r w:rsidR="00BB5BDE">
        <w:t xml:space="preserve">. </w:t>
      </w:r>
      <w:r w:rsidR="00097263">
        <w:t>Certains espoirs peuvent être fondés sur la mise en place du conseil franco-allemand des experts économiques</w:t>
      </w:r>
      <w:r w:rsidR="000269D7">
        <w:t xml:space="preserve"> créé par le traité d’Aix la Chapelle de 2019</w:t>
      </w:r>
      <w:r w:rsidR="00097263">
        <w:t xml:space="preserve">. </w:t>
      </w:r>
      <w:r w:rsidR="006B0BE5">
        <w:t>Il revient à s</w:t>
      </w:r>
      <w:r w:rsidR="000269D7">
        <w:t xml:space="preserve">es membres éminents </w:t>
      </w:r>
      <w:r w:rsidR="006B0BE5">
        <w:t>de</w:t>
      </w:r>
      <w:r w:rsidR="00097263">
        <w:t xml:space="preserve"> favoriser l’émergence </w:t>
      </w:r>
      <w:r w:rsidR="000269D7">
        <w:t xml:space="preserve">et </w:t>
      </w:r>
      <w:r w:rsidR="006B0BE5">
        <w:t xml:space="preserve">de </w:t>
      </w:r>
      <w:r w:rsidR="000269D7">
        <w:t xml:space="preserve">soutenir la réalisation </w:t>
      </w:r>
      <w:r w:rsidR="00097263">
        <w:t>d</w:t>
      </w:r>
      <w:r w:rsidR="000269D7">
        <w:t xml:space="preserve">e propositions </w:t>
      </w:r>
      <w:r w:rsidR="00097263">
        <w:t>nouvelles</w:t>
      </w:r>
      <w:r w:rsidR="006B0BE5">
        <w:t>.</w:t>
      </w:r>
      <w:r w:rsidR="00097263">
        <w:t xml:space="preserve"> </w:t>
      </w:r>
      <w:r w:rsidR="006B0BE5">
        <w:t>L</w:t>
      </w:r>
      <w:r w:rsidR="00097263">
        <w:t xml:space="preserve">a passivité </w:t>
      </w:r>
      <w:r w:rsidR="000269D7">
        <w:t xml:space="preserve">institutionnelles </w:t>
      </w:r>
      <w:r w:rsidR="00097263">
        <w:t>des nombreuses instances officielles (MES, Ecofin, Eurogroupe,</w:t>
      </w:r>
      <w:r w:rsidR="00C212DB">
        <w:t>,… pour n’en citer que quelques-un</w:t>
      </w:r>
      <w:r w:rsidR="000269D7">
        <w:t>e</w:t>
      </w:r>
      <w:r w:rsidR="00C212DB">
        <w:t>s),</w:t>
      </w:r>
      <w:r w:rsidR="006B0BE5">
        <w:t xml:space="preserve"> est </w:t>
      </w:r>
      <w:r w:rsidR="00097263">
        <w:t xml:space="preserve"> tributaires de </w:t>
      </w:r>
      <w:r w:rsidR="00C212DB">
        <w:t xml:space="preserve">laborieux </w:t>
      </w:r>
      <w:r w:rsidR="00097263">
        <w:t>compromis politiques</w:t>
      </w:r>
      <w:r w:rsidR="000269D7">
        <w:t xml:space="preserve"> de circonstances</w:t>
      </w:r>
      <w:r w:rsidR="005908D4">
        <w:t xml:space="preserve"> de sorte que les places sont plus âprement disputées que les idées</w:t>
      </w:r>
      <w:r w:rsidR="00C212DB">
        <w:t>.</w:t>
      </w:r>
    </w:p>
    <w:p w14:paraId="4B3EB837" w14:textId="3CA7DA76" w:rsidR="00A519B2" w:rsidRDefault="00C212DB" w:rsidP="00E82199">
      <w:pPr>
        <w:jc w:val="both"/>
      </w:pPr>
      <w:r>
        <w:t xml:space="preserve"> </w:t>
      </w:r>
      <w:r w:rsidR="00062EAE">
        <w:t>L</w:t>
      </w:r>
      <w:r w:rsidR="00D901D5">
        <w:t>es dirigeants des banques c</w:t>
      </w:r>
      <w:r w:rsidR="007712FE">
        <w:t>entrales</w:t>
      </w:r>
      <w:r w:rsidR="00D70D5A">
        <w:t xml:space="preserve"> </w:t>
      </w:r>
      <w:r w:rsidR="00062EAE">
        <w:t xml:space="preserve"> ne sauraient </w:t>
      </w:r>
      <w:r w:rsidR="00B12E2E">
        <w:t xml:space="preserve"> négliger</w:t>
      </w:r>
      <w:r w:rsidR="00DB63C1">
        <w:t xml:space="preserve"> par ailleurs</w:t>
      </w:r>
      <w:r w:rsidR="00B12E2E">
        <w:t xml:space="preserve"> les différences </w:t>
      </w:r>
      <w:r w:rsidR="00062EAE">
        <w:t xml:space="preserve">structurelles </w:t>
      </w:r>
      <w:r w:rsidR="00B12E2E">
        <w:t>d’architectures financières de part et d’autre de l’Atlantique</w:t>
      </w:r>
      <w:r w:rsidR="007712FE">
        <w:t xml:space="preserve">, mais </w:t>
      </w:r>
      <w:r w:rsidR="00D22229">
        <w:t xml:space="preserve">devront </w:t>
      </w:r>
      <w:r w:rsidR="007712FE">
        <w:t>en tenir</w:t>
      </w:r>
      <w:r w:rsidR="000A5DD0">
        <w:t xml:space="preserve"> </w:t>
      </w:r>
      <w:r w:rsidR="007712FE">
        <w:t xml:space="preserve">compte </w:t>
      </w:r>
      <w:r w:rsidR="001430A6">
        <w:t xml:space="preserve">lucidement pour aligner leurs objectifs </w:t>
      </w:r>
      <w:r w:rsidR="00B16343">
        <w:t xml:space="preserve">monétaires </w:t>
      </w:r>
      <w:r w:rsidR="001430A6">
        <w:t>et leurs comportements</w:t>
      </w:r>
      <w:r w:rsidR="00B12E2E">
        <w:t> </w:t>
      </w:r>
      <w:r w:rsidR="00B16343">
        <w:t xml:space="preserve">effectifs </w:t>
      </w:r>
      <w:r w:rsidR="00B12E2E">
        <w:t>:</w:t>
      </w:r>
      <w:r w:rsidR="008013F5">
        <w:t xml:space="preserve"> </w:t>
      </w:r>
      <w:r w:rsidR="007712FE">
        <w:t>l’</w:t>
      </w:r>
      <w:r w:rsidR="00B12E2E">
        <w:t xml:space="preserve">épargne longue </w:t>
      </w:r>
      <w:r w:rsidR="007712FE">
        <w:t xml:space="preserve">est </w:t>
      </w:r>
      <w:r w:rsidR="00B12E2E">
        <w:t>concentrée dans les fonds de pension aux E</w:t>
      </w:r>
      <w:r w:rsidR="00D70D5A">
        <w:t>tats-Unis alors que celle-ci</w:t>
      </w:r>
      <w:r w:rsidR="00B12E2E">
        <w:t xml:space="preserve"> est largement placée en assurance-vie en Europe ;</w:t>
      </w:r>
      <w:r w:rsidR="008013F5">
        <w:t xml:space="preserve"> </w:t>
      </w:r>
      <w:r w:rsidR="007712FE">
        <w:t>l</w:t>
      </w:r>
      <w:r w:rsidR="00642AA0">
        <w:t>a majorité des</w:t>
      </w:r>
      <w:r w:rsidR="007712FE">
        <w:t xml:space="preserve"> </w:t>
      </w:r>
      <w:r w:rsidR="00B12E2E">
        <w:t xml:space="preserve">financements des entreprises </w:t>
      </w:r>
      <w:r w:rsidR="007712FE">
        <w:t xml:space="preserve">passent </w:t>
      </w:r>
      <w:r w:rsidR="00B12E2E">
        <w:t>p</w:t>
      </w:r>
      <w:r w:rsidR="00A96EFD">
        <w:t>ar les marchés en Amérique tandis</w:t>
      </w:r>
      <w:r w:rsidR="00B12E2E">
        <w:t xml:space="preserve"> que les crédits bancaires prédominent</w:t>
      </w:r>
      <w:r w:rsidR="00642AA0">
        <w:t xml:space="preserve"> aux trois-quarts</w:t>
      </w:r>
      <w:r w:rsidR="00B12E2E">
        <w:t xml:space="preserve"> dans l</w:t>
      </w:r>
      <w:r w:rsidR="00642AA0">
        <w:t>a zone euro</w:t>
      </w:r>
      <w:r w:rsidR="00B12E2E">
        <w:t>.</w:t>
      </w:r>
      <w:r w:rsidR="00BB5BDE">
        <w:t xml:space="preserve"> </w:t>
      </w:r>
      <w:r w:rsidR="00B12E2E">
        <w:t>La tentation de l’isoleme</w:t>
      </w:r>
      <w:r w:rsidR="00D70D5A">
        <w:t xml:space="preserve">nt au profit d’une </w:t>
      </w:r>
      <w:r w:rsidR="002A1819">
        <w:t xml:space="preserve">hypothétique </w:t>
      </w:r>
      <w:r w:rsidR="00B12E2E">
        <w:t>« démond</w:t>
      </w:r>
      <w:r w:rsidR="00D70D5A">
        <w:t xml:space="preserve">ialisation » doit être </w:t>
      </w:r>
      <w:r w:rsidR="00062EAE">
        <w:t xml:space="preserve">résolument </w:t>
      </w:r>
      <w:r w:rsidR="00D70D5A">
        <w:t>écartée</w:t>
      </w:r>
      <w:r w:rsidR="008013F5">
        <w:t xml:space="preserve"> au profit d’une participation active </w:t>
      </w:r>
      <w:r w:rsidR="00085450">
        <w:t xml:space="preserve">mais critique </w:t>
      </w:r>
      <w:r w:rsidR="008013F5">
        <w:t xml:space="preserve">aux « revues stratégiques » que la </w:t>
      </w:r>
      <w:r w:rsidR="00E2690F">
        <w:t>« </w:t>
      </w:r>
      <w:r w:rsidR="008013F5">
        <w:t>BCE</w:t>
      </w:r>
      <w:r w:rsidR="00E2690F">
        <w:t> »</w:t>
      </w:r>
      <w:r w:rsidR="008013F5">
        <w:t xml:space="preserve"> et la </w:t>
      </w:r>
      <w:r w:rsidR="00E2690F">
        <w:t>« </w:t>
      </w:r>
      <w:r w:rsidR="008013F5">
        <w:t>Fed</w:t>
      </w:r>
      <w:r w:rsidR="00E2690F">
        <w:t> »</w:t>
      </w:r>
      <w:r w:rsidR="006D2FF2">
        <w:t xml:space="preserve"> </w:t>
      </w:r>
      <w:r w:rsidR="008013F5">
        <w:t xml:space="preserve">ont </w:t>
      </w:r>
      <w:r w:rsidR="00D70D5A">
        <w:t xml:space="preserve">récemment </w:t>
      </w:r>
      <w:r w:rsidR="008013F5">
        <w:t>déclaré vouloir entr</w:t>
      </w:r>
      <w:r w:rsidR="00085450">
        <w:t xml:space="preserve">eprendre dans </w:t>
      </w:r>
      <w:r w:rsidR="009A53F0">
        <w:t>le</w:t>
      </w:r>
      <w:r w:rsidR="00085450">
        <w:t xml:space="preserve"> contexte d’urgence qui s’impose au plan mondial</w:t>
      </w:r>
      <w:r w:rsidR="008013F5">
        <w:t>.</w:t>
      </w:r>
      <w:r w:rsidR="00BB5BDE">
        <w:t xml:space="preserve"> Le débat ne saurait se réduire aux volumes des « quantitative easings » à venir mais doit intégrer la conception et la mise en place d’instruments nouveaux.</w:t>
      </w:r>
      <w:r w:rsidR="008013F5">
        <w:t xml:space="preserve"> </w:t>
      </w:r>
      <w:r w:rsidR="003870B5">
        <w:t>On peut même imaginer que le recours à de nouveaux instruments de financement</w:t>
      </w:r>
      <w:r w:rsidR="006D2FF2">
        <w:t xml:space="preserve">s </w:t>
      </w:r>
      <w:r w:rsidR="003870B5">
        <w:t>réduira</w:t>
      </w:r>
      <w:r w:rsidR="006D2FF2">
        <w:t xml:space="preserve"> </w:t>
      </w:r>
      <w:r w:rsidR="003870B5">
        <w:t xml:space="preserve">l’inévitable pression politique en vue de la poursuite de « quantitative easings » massifs. </w:t>
      </w:r>
      <w:r w:rsidR="00FC75FA">
        <w:t xml:space="preserve">La tentation d’un </w:t>
      </w:r>
      <w:r w:rsidR="003B5D24">
        <w:t>statu</w:t>
      </w:r>
      <w:r w:rsidR="0008713E">
        <w:t xml:space="preserve"> </w:t>
      </w:r>
      <w:r w:rsidR="001430A6">
        <w:t xml:space="preserve">quo </w:t>
      </w:r>
      <w:r w:rsidR="00FC75FA">
        <w:t>confortable joint à</w:t>
      </w:r>
      <w:r w:rsidR="001430A6">
        <w:t xml:space="preserve"> la rigidité</w:t>
      </w:r>
      <w:r w:rsidR="0009589C">
        <w:t xml:space="preserve"> d</w:t>
      </w:r>
      <w:r w:rsidR="00FC75FA">
        <w:t>’une pensée unique</w:t>
      </w:r>
      <w:r w:rsidR="0009589C">
        <w:t xml:space="preserve"> ne saurait prévaloir</w:t>
      </w:r>
      <w:r w:rsidR="00D901D5">
        <w:t xml:space="preserve"> sur la recherche de solutions innovantes</w:t>
      </w:r>
      <w:r w:rsidR="0009589C">
        <w:t xml:space="preserve"> en situation de crise extrême</w:t>
      </w:r>
      <w:r w:rsidR="00073869">
        <w:t xml:space="preserve"> et de désordre financier généralisé</w:t>
      </w:r>
      <w:r w:rsidR="0009589C">
        <w:t xml:space="preserve">. </w:t>
      </w:r>
      <w:r w:rsidR="008013F5">
        <w:t xml:space="preserve">On </w:t>
      </w:r>
      <w:r w:rsidR="001430A6">
        <w:t>ne saurait oublier aujourd’hui</w:t>
      </w:r>
      <w:r w:rsidR="00062EAE">
        <w:t xml:space="preserve"> les</w:t>
      </w:r>
      <w:r w:rsidR="00B63790">
        <w:t xml:space="preserve"> stratégies </w:t>
      </w:r>
      <w:r w:rsidR="00062EAE">
        <w:t>originales suivies par l</w:t>
      </w:r>
      <w:r w:rsidR="008013F5">
        <w:t xml:space="preserve">es </w:t>
      </w:r>
      <w:r w:rsidR="00527A75">
        <w:t xml:space="preserve">grandes </w:t>
      </w:r>
      <w:r w:rsidR="008013F5">
        <w:t>puissances extrême-or</w:t>
      </w:r>
      <w:r w:rsidR="00527A75">
        <w:t>ientales. Au moment du départ du Premier Ministre</w:t>
      </w:r>
      <w:r w:rsidR="00183284">
        <w:t xml:space="preserve"> Shinzo Ab</w:t>
      </w:r>
      <w:r w:rsidR="008013F5">
        <w:t>e, l’Allemagne ne sa</w:t>
      </w:r>
      <w:r w:rsidR="00062EAE">
        <w:t xml:space="preserve">urait être insensible aux résultats </w:t>
      </w:r>
      <w:r w:rsidR="005825E4">
        <w:t xml:space="preserve">mitigés </w:t>
      </w:r>
      <w:r w:rsidR="00062EAE">
        <w:t>de</w:t>
      </w:r>
      <w:r w:rsidR="00E860A6">
        <w:t xml:space="preserve"> la politique</w:t>
      </w:r>
      <w:r w:rsidR="00527A75">
        <w:t xml:space="preserve"> nippone</w:t>
      </w:r>
      <w:r w:rsidR="005825E4">
        <w:t xml:space="preserve"> (« Abenomics »)</w:t>
      </w:r>
      <w:r w:rsidR="00527A75">
        <w:t xml:space="preserve"> qui a</w:t>
      </w:r>
      <w:r w:rsidR="008013F5">
        <w:t xml:space="preserve"> </w:t>
      </w:r>
      <w:r w:rsidR="005825E4">
        <w:t xml:space="preserve">pourtant </w:t>
      </w:r>
      <w:r w:rsidR="008013F5">
        <w:t>placé le yen</w:t>
      </w:r>
      <w:r w:rsidR="000A5DD0">
        <w:t>, grâce à l’</w:t>
      </w:r>
      <w:r w:rsidR="000E0ED1">
        <w:t>usage d’une épargne nationale</w:t>
      </w:r>
      <w:r w:rsidR="0063540B">
        <w:t xml:space="preserve"> </w:t>
      </w:r>
      <w:r w:rsidR="000E0ED1">
        <w:t>importante,</w:t>
      </w:r>
      <w:r w:rsidR="008013F5">
        <w:t xml:space="preserve"> au service de l’industrie et des exportations</w:t>
      </w:r>
      <w:r w:rsidR="00062EAE">
        <w:t>,</w:t>
      </w:r>
      <w:r w:rsidR="008013F5">
        <w:t xml:space="preserve"> depuis 2012. Avant comme après la crise sanitaire, le taux de chômage japonais se maintient </w:t>
      </w:r>
      <w:r w:rsidR="001430A6">
        <w:t xml:space="preserve">pourtant </w:t>
      </w:r>
      <w:r w:rsidR="008013F5">
        <w:t>au niveau de 3%</w:t>
      </w:r>
      <w:r w:rsidR="0063540B">
        <w:t xml:space="preserve">, tout en </w:t>
      </w:r>
      <w:r w:rsidR="002A1819">
        <w:t>favorisant</w:t>
      </w:r>
      <w:r w:rsidR="000A5DD0">
        <w:t xml:space="preserve"> des gains</w:t>
      </w:r>
      <w:r w:rsidR="00D70D5A">
        <w:t xml:space="preserve"> </w:t>
      </w:r>
      <w:r w:rsidR="0063540B">
        <w:t>de productivité</w:t>
      </w:r>
      <w:r w:rsidR="008013F5">
        <w:t>. Les offensives de l’Empire du Milieu à l’égard des économies occidentales mériteraient bien d’autres commentaires</w:t>
      </w:r>
      <w:r w:rsidR="00527A75">
        <w:t xml:space="preserve"> en raison de</w:t>
      </w:r>
      <w:r w:rsidR="00E860A6">
        <w:t>s</w:t>
      </w:r>
      <w:r w:rsidR="00E2690F">
        <w:t xml:space="preserve"> </w:t>
      </w:r>
      <w:r w:rsidR="00527A75">
        <w:t>manipulations monétaires de la monnaie chinoise…</w:t>
      </w:r>
      <w:r w:rsidR="00D70D5A">
        <w:t xml:space="preserve"> </w:t>
      </w:r>
      <w:r w:rsidR="005825E4">
        <w:t xml:space="preserve">dont les initiateurs </w:t>
      </w:r>
      <w:r w:rsidR="007712FE">
        <w:t xml:space="preserve">paraissent jusqu’ici </w:t>
      </w:r>
      <w:r w:rsidR="00D70D5A">
        <w:t xml:space="preserve">peu sensibles aux menaces du Président </w:t>
      </w:r>
      <w:r w:rsidR="007712FE">
        <w:t xml:space="preserve">Donald </w:t>
      </w:r>
      <w:r w:rsidR="00D70D5A">
        <w:t>Trump.</w:t>
      </w:r>
      <w:r w:rsidR="00527A75">
        <w:t xml:space="preserve"> Le sort </w:t>
      </w:r>
      <w:r w:rsidR="00E860A6">
        <w:t>des pays émergents est par ailleurs</w:t>
      </w:r>
      <w:r w:rsidR="00527A75">
        <w:t xml:space="preserve"> plus que préoccupant puisque</w:t>
      </w:r>
      <w:r w:rsidR="00E2690F">
        <w:t>,</w:t>
      </w:r>
      <w:r w:rsidR="00527A75">
        <w:t xml:space="preserve"> d’après les dernières informations disponibles</w:t>
      </w:r>
      <w:r w:rsidR="00E2690F">
        <w:t>,</w:t>
      </w:r>
      <w:r w:rsidR="00527A75">
        <w:t xml:space="preserve"> 20 pays « pauvres » sortiraient en situation de surendettement chronique à la suite de la crise</w:t>
      </w:r>
      <w:r w:rsidR="00E2690F">
        <w:t xml:space="preserve"> sanitaire</w:t>
      </w:r>
      <w:r w:rsidR="008013F5">
        <w:t>.</w:t>
      </w:r>
      <w:r w:rsidR="00527A75">
        <w:t xml:space="preserve"> Le « Club de Paris » aurait déjà a</w:t>
      </w:r>
      <w:r w:rsidR="00E2690F">
        <w:t>ccepté le principe du report de leurs</w:t>
      </w:r>
      <w:r w:rsidR="00527A75">
        <w:t xml:space="preserve"> principales échéances de l’année 2020</w:t>
      </w:r>
      <w:r w:rsidR="00E2690F">
        <w:t>,</w:t>
      </w:r>
      <w:r w:rsidR="00527A75">
        <w:t xml:space="preserve"> avant d’envisager éventuellement un moratoire partiel. </w:t>
      </w:r>
      <w:r w:rsidR="000E0ED1">
        <w:t xml:space="preserve"> </w:t>
      </w:r>
      <w:r w:rsidR="0063540B">
        <w:t>Parmi bien d’autres, l</w:t>
      </w:r>
      <w:r w:rsidR="000E0ED1">
        <w:t>’avenir des économies indiennes, brésiliennes</w:t>
      </w:r>
      <w:r w:rsidR="00BD6B35">
        <w:t>, mexicaines</w:t>
      </w:r>
      <w:r w:rsidR="000E0ED1">
        <w:t xml:space="preserve"> ou encore argentines suscite de graves inquiétudes qui pourraient déboucher sur des crises politiques de grande a</w:t>
      </w:r>
      <w:r w:rsidR="0063540B">
        <w:t>mp</w:t>
      </w:r>
      <w:r w:rsidR="000E0ED1">
        <w:t>leur.</w:t>
      </w:r>
      <w:r w:rsidR="0063540B">
        <w:t xml:space="preserve"> </w:t>
      </w:r>
      <w:r w:rsidR="00527A75">
        <w:t>Malgré o</w:t>
      </w:r>
      <w:r w:rsidR="001430A6">
        <w:t xml:space="preserve">u en raison de ce contexte </w:t>
      </w:r>
      <w:r w:rsidR="009A53F0">
        <w:t xml:space="preserve">général </w:t>
      </w:r>
      <w:r w:rsidR="001430A6">
        <w:t>de grande vulnérabilité</w:t>
      </w:r>
      <w:r w:rsidR="00FC4721">
        <w:t>, les dirigeants des deux principales économies européennes, l’Allemagne et la France,</w:t>
      </w:r>
      <w:r w:rsidR="004929DE">
        <w:t xml:space="preserve"> disposent</w:t>
      </w:r>
      <w:r w:rsidR="00334ADE">
        <w:t>, à court terme,</w:t>
      </w:r>
      <w:r w:rsidR="004929DE">
        <w:t xml:space="preserve"> d’une marge de manœuvre non négligeable</w:t>
      </w:r>
      <w:r w:rsidR="00527A75">
        <w:t>,</w:t>
      </w:r>
      <w:r w:rsidR="009079D8">
        <w:t xml:space="preserve"> en raison même des </w:t>
      </w:r>
      <w:r w:rsidR="00266EB6">
        <w:t xml:space="preserve">graves </w:t>
      </w:r>
      <w:r w:rsidR="009079D8">
        <w:t>p</w:t>
      </w:r>
      <w:r w:rsidR="00AF7238">
        <w:t>érils encourus par les institutions</w:t>
      </w:r>
      <w:r w:rsidR="009079D8">
        <w:t xml:space="preserve"> qu’ils sont censés contrôler</w:t>
      </w:r>
      <w:r w:rsidR="004929DE">
        <w:t xml:space="preserve">. </w:t>
      </w:r>
      <w:r w:rsidR="00527A75">
        <w:t>Au-delà des débats techniques</w:t>
      </w:r>
      <w:r w:rsidR="001430A6">
        <w:t>, de la complexité des appareils statistiques et d</w:t>
      </w:r>
      <w:r w:rsidR="00CE7C55">
        <w:t>’</w:t>
      </w:r>
      <w:r w:rsidR="001430A6">
        <w:t>u</w:t>
      </w:r>
      <w:r w:rsidR="00CE7C55">
        <w:t>n</w:t>
      </w:r>
      <w:r w:rsidR="001430A6">
        <w:t xml:space="preserve"> jargon technocratique</w:t>
      </w:r>
      <w:r w:rsidR="00CE7C55">
        <w:t xml:space="preserve"> doctement entretenu</w:t>
      </w:r>
      <w:r w:rsidR="000E0ED1">
        <w:t>, il leur revient de reconsidérer</w:t>
      </w:r>
      <w:r w:rsidR="00946E3A">
        <w:t xml:space="preserve"> ensemble</w:t>
      </w:r>
      <w:r w:rsidR="00527A75">
        <w:t xml:space="preserve"> les priorités des </w:t>
      </w:r>
      <w:r w:rsidR="00870E95">
        <w:t>banques centrales des deux principales économies de l’Union Européenne :</w:t>
      </w:r>
    </w:p>
    <w:p w14:paraId="1023A342" w14:textId="77777777" w:rsidR="00A519B2" w:rsidRDefault="00A519B2" w:rsidP="00E82199">
      <w:pPr>
        <w:jc w:val="both"/>
      </w:pPr>
      <w:r>
        <w:t>-</w:t>
      </w:r>
      <w:r w:rsidR="00870E95">
        <w:t xml:space="preserve"> </w:t>
      </w:r>
      <w:r w:rsidR="005D1B70">
        <w:t xml:space="preserve">soit </w:t>
      </w:r>
      <w:r w:rsidR="00870E95">
        <w:t xml:space="preserve">le développement </w:t>
      </w:r>
      <w:r w:rsidR="00D901D5">
        <w:t xml:space="preserve">durable </w:t>
      </w:r>
      <w:r w:rsidR="00870E95">
        <w:t>de l’économie réelle et des emplois</w:t>
      </w:r>
      <w:r w:rsidR="0063540B">
        <w:t>, d’une part,</w:t>
      </w:r>
    </w:p>
    <w:p w14:paraId="5B7A32A5" w14:textId="685C1BB3" w:rsidR="00A519B2" w:rsidRDefault="00A519B2" w:rsidP="00E82199">
      <w:pPr>
        <w:jc w:val="both"/>
      </w:pPr>
      <w:r>
        <w:t xml:space="preserve">- </w:t>
      </w:r>
      <w:r w:rsidR="005D1B70">
        <w:t>soit</w:t>
      </w:r>
      <w:r w:rsidR="00870E95">
        <w:t xml:space="preserve"> le soutien indéfectible aux marchés financiers et à leurs opérateurs</w:t>
      </w:r>
      <w:r w:rsidR="00D901D5">
        <w:t xml:space="preserve">, d’autre </w:t>
      </w:r>
      <w:r w:rsidR="0063540B">
        <w:t>part</w:t>
      </w:r>
      <w:r w:rsidR="00870E95">
        <w:t xml:space="preserve">. </w:t>
      </w:r>
    </w:p>
    <w:p w14:paraId="532E656A" w14:textId="15840FC1" w:rsidR="008631C6" w:rsidRDefault="00870E95" w:rsidP="00E82199">
      <w:pPr>
        <w:jc w:val="both"/>
      </w:pPr>
      <w:r>
        <w:t>L’expérience des dernières décennies montre qu’il est difficile de concilier simultaném</w:t>
      </w:r>
      <w:r w:rsidR="00E2690F">
        <w:t>ent les deux objectifs</w:t>
      </w:r>
      <w:r w:rsidR="000A5DD0">
        <w:t xml:space="preserve"> à partir des mêmes dispositifs</w:t>
      </w:r>
      <w:r w:rsidR="00E2690F">
        <w:t xml:space="preserve">. </w:t>
      </w:r>
      <w:r w:rsidR="000E0ED1">
        <w:t xml:space="preserve">La question mérite d’être </w:t>
      </w:r>
      <w:r w:rsidR="0063540B">
        <w:t xml:space="preserve">clairement et fermement </w:t>
      </w:r>
      <w:r w:rsidR="000E0ED1">
        <w:t xml:space="preserve">posée </w:t>
      </w:r>
      <w:r w:rsidR="000E0ED1">
        <w:lastRenderedPageBreak/>
        <w:t xml:space="preserve">alors </w:t>
      </w:r>
      <w:r w:rsidR="0063540B">
        <w:t>que la machine monétaire s’</w:t>
      </w:r>
      <w:r w:rsidR="00A10316">
        <w:t xml:space="preserve">est </w:t>
      </w:r>
      <w:r w:rsidR="0063540B">
        <w:t>emb</w:t>
      </w:r>
      <w:r w:rsidR="00A10316">
        <w:t>allée</w:t>
      </w:r>
      <w:r w:rsidR="007712FE">
        <w:t xml:space="preserve"> en 2020 au-delà de toute </w:t>
      </w:r>
      <w:r w:rsidR="0063540B">
        <w:t xml:space="preserve">mesure, déversant </w:t>
      </w:r>
      <w:r w:rsidR="00BB62F2">
        <w:t>en quelques mois</w:t>
      </w:r>
      <w:r w:rsidR="000259D3">
        <w:t>, à guichets ouverts,</w:t>
      </w:r>
      <w:r w:rsidR="00BB62F2">
        <w:t xml:space="preserve"> </w:t>
      </w:r>
      <w:r w:rsidR="0063540B">
        <w:t>plusieurs trillions d’euros et de dollars sur les marchés financiers de la pl</w:t>
      </w:r>
      <w:r w:rsidR="00BB62F2">
        <w:t>anète. Le moment n’est-il pas venu de s’inter</w:t>
      </w:r>
      <w:r w:rsidR="000A4475">
        <w:t>roger en toute rigueur</w:t>
      </w:r>
      <w:r w:rsidR="0063540B">
        <w:t xml:space="preserve"> sur le meilleur usage possible de ces fonds issus du privilège </w:t>
      </w:r>
      <w:r w:rsidR="00D70D5A">
        <w:t xml:space="preserve">exclusif </w:t>
      </w:r>
      <w:r w:rsidR="0063540B">
        <w:t>de création</w:t>
      </w:r>
      <w:r w:rsidR="00D70D5A">
        <w:t xml:space="preserve"> monétaire que détiennent</w:t>
      </w:r>
      <w:r w:rsidR="0063540B">
        <w:t xml:space="preserve"> les banques centrales ? </w:t>
      </w:r>
      <w:r w:rsidR="0023033A">
        <w:t>Outre l</w:t>
      </w:r>
      <w:r w:rsidR="002701EA">
        <w:t>’analyse critique des</w:t>
      </w:r>
      <w:r w:rsidR="0023033A">
        <w:t xml:space="preserve">  finalités de la création monétaire, un débat de fond</w:t>
      </w:r>
      <w:r w:rsidR="002701EA">
        <w:t xml:space="preserve"> sur le mirage de l’argent gratuit </w:t>
      </w:r>
      <w:r w:rsidR="0023033A">
        <w:t xml:space="preserve"> n’évitera pas de mettre en cause le transfert de charge (ou de « perte de chance de rémunération</w:t>
      </w:r>
      <w:r w:rsidR="002701EA">
        <w:t xml:space="preserve"> » pour employer le langage de l’expertise judiciaire financière ) au détriment des épargnants. </w:t>
      </w:r>
      <w:r w:rsidR="00062EAE">
        <w:t xml:space="preserve">Des interventions </w:t>
      </w:r>
      <w:r w:rsidR="00073648">
        <w:t xml:space="preserve">soigneusement </w:t>
      </w:r>
      <w:r w:rsidR="00062EAE">
        <w:t>coordonnées pour canaliser l’épargne de précaution vers les fonds propres des entreprises créatrices d’emploi</w:t>
      </w:r>
      <w:r w:rsidR="00FC75FA">
        <w:t xml:space="preserve"> dans le </w:t>
      </w:r>
      <w:r w:rsidR="00BB5BDE">
        <w:t xml:space="preserve">strict </w:t>
      </w:r>
      <w:r w:rsidR="00FC75FA">
        <w:t xml:space="preserve">respect de normes </w:t>
      </w:r>
      <w:r w:rsidR="00BD6B35">
        <w:t>« </w:t>
      </w:r>
      <w:r w:rsidR="00FC75FA">
        <w:t>ESG</w:t>
      </w:r>
      <w:r w:rsidR="00BD6B35">
        <w:t> »</w:t>
      </w:r>
      <w:r w:rsidR="0008713E">
        <w:t xml:space="preserve"> consensuelles</w:t>
      </w:r>
      <w:r w:rsidR="00FC75FA">
        <w:t xml:space="preserve"> (</w:t>
      </w:r>
      <w:r w:rsidR="00BD6B35">
        <w:t>« </w:t>
      </w:r>
      <w:r w:rsidR="00FC75FA">
        <w:t>Environnementales, sociales et de de Gouvernance</w:t>
      </w:r>
      <w:r w:rsidR="00BD6B35">
        <w:t> »</w:t>
      </w:r>
      <w:r w:rsidR="00FC75FA">
        <w:t>)</w:t>
      </w:r>
      <w:r w:rsidR="00062EAE">
        <w:t xml:space="preserve"> constitueraient des initiatives</w:t>
      </w:r>
      <w:r w:rsidR="006B3AB3">
        <w:t xml:space="preserve"> directes,</w:t>
      </w:r>
      <w:r w:rsidR="00062EAE">
        <w:t xml:space="preserve"> simples</w:t>
      </w:r>
      <w:r w:rsidR="001306FD">
        <w:t xml:space="preserve"> </w:t>
      </w:r>
      <w:r w:rsidR="00FC75FA">
        <w:t xml:space="preserve">et </w:t>
      </w:r>
      <w:r w:rsidR="00062EAE">
        <w:t>efficaces</w:t>
      </w:r>
      <w:r w:rsidR="0034139C">
        <w:t xml:space="preserve"> de la Banque de France et de la Bundesbank</w:t>
      </w:r>
      <w:r w:rsidR="00FA523A">
        <w:t>,</w:t>
      </w:r>
      <w:r w:rsidR="00073648">
        <w:t xml:space="preserve"> en évitant </w:t>
      </w:r>
      <w:r w:rsidR="00902DC3">
        <w:t>une</w:t>
      </w:r>
      <w:r w:rsidR="00A10316">
        <w:t xml:space="preserve"> création monétaire</w:t>
      </w:r>
      <w:r w:rsidR="0033185A">
        <w:t xml:space="preserve"> abusive</w:t>
      </w:r>
      <w:r w:rsidR="0034139C">
        <w:t xml:space="preserve">. </w:t>
      </w:r>
      <w:r w:rsidR="00073648">
        <w:t xml:space="preserve">Ces financements </w:t>
      </w:r>
      <w:r w:rsidR="00A10316">
        <w:t xml:space="preserve">privilégiés reposeraient sur un ciblage objectif </w:t>
      </w:r>
      <w:r w:rsidR="0033185A">
        <w:t xml:space="preserve">des entreprises bénéficiaires </w:t>
      </w:r>
      <w:r w:rsidR="00A10316">
        <w:t>à partir des notations bancaires disponibles</w:t>
      </w:r>
      <w:r w:rsidR="00073648">
        <w:t xml:space="preserve"> et des projets </w:t>
      </w:r>
      <w:r w:rsidR="00FC75FA">
        <w:t xml:space="preserve">ambitieux </w:t>
      </w:r>
      <w:r w:rsidR="00073648">
        <w:t>d’avenir</w:t>
      </w:r>
      <w:r w:rsidR="001F5B59">
        <w:t xml:space="preserve"> sur la base d’avantages compétitifs durables</w:t>
      </w:r>
      <w:r w:rsidR="00784B64">
        <w:t xml:space="preserve"> a</w:t>
      </w:r>
      <w:r w:rsidR="0008713E">
        <w:t>u plan européen</w:t>
      </w:r>
      <w:r w:rsidR="00784B64">
        <w:t>.</w:t>
      </w:r>
      <w:r w:rsidR="00A10316">
        <w:t xml:space="preserve"> </w:t>
      </w:r>
    </w:p>
    <w:p w14:paraId="03FB4191" w14:textId="5ED50C3B" w:rsidR="001F5B59" w:rsidRDefault="00A10316" w:rsidP="00E82199">
      <w:pPr>
        <w:jc w:val="both"/>
      </w:pPr>
      <w:r>
        <w:t>Cette</w:t>
      </w:r>
      <w:r w:rsidR="001430A6">
        <w:t xml:space="preserve"> </w:t>
      </w:r>
      <w:r>
        <w:t>avancée</w:t>
      </w:r>
      <w:r w:rsidR="0033185A">
        <w:t xml:space="preserve"> conceptuelle</w:t>
      </w:r>
      <w:r w:rsidR="001430A6">
        <w:t xml:space="preserve"> </w:t>
      </w:r>
      <w:r w:rsidR="000269D7">
        <w:t>à visée</w:t>
      </w:r>
      <w:r w:rsidR="001430A6">
        <w:t xml:space="preserve"> stratégique</w:t>
      </w:r>
      <w:r w:rsidR="00073648">
        <w:t>, destinée à orienter</w:t>
      </w:r>
      <w:r w:rsidR="00253DE7">
        <w:t xml:space="preserve"> directement </w:t>
      </w:r>
      <w:r w:rsidR="0034139C">
        <w:t>la gestion des finances européennes</w:t>
      </w:r>
      <w:r>
        <w:t xml:space="preserve"> au service de l’emploi</w:t>
      </w:r>
      <w:r w:rsidR="00073648">
        <w:t xml:space="preserve"> et de l’investissement</w:t>
      </w:r>
      <w:r w:rsidR="0033185A">
        <w:t>,</w:t>
      </w:r>
      <w:r w:rsidR="001430A6">
        <w:t xml:space="preserve"> </w:t>
      </w:r>
      <w:r w:rsidR="00E20184">
        <w:t>marquerait d’une pierre blanche</w:t>
      </w:r>
      <w:r w:rsidR="0034139C">
        <w:t xml:space="preserve"> la présidence allemande </w:t>
      </w:r>
      <w:r w:rsidR="00B63790">
        <w:t xml:space="preserve">de l’Union </w:t>
      </w:r>
      <w:r w:rsidR="001430A6">
        <w:t xml:space="preserve">Européenne </w:t>
      </w:r>
      <w:r w:rsidR="0034139C">
        <w:t>au cou</w:t>
      </w:r>
      <w:r w:rsidR="00B63790">
        <w:t>rs du second semestre 2020</w:t>
      </w:r>
      <w:r w:rsidR="0034139C">
        <w:t xml:space="preserve">. </w:t>
      </w:r>
      <w:r>
        <w:t>A cette fin, l</w:t>
      </w:r>
      <w:r w:rsidR="00870E95">
        <w:t>es</w:t>
      </w:r>
      <w:r w:rsidR="0063540B">
        <w:t xml:space="preserve"> </w:t>
      </w:r>
      <w:r w:rsidR="00E2690F">
        <w:t xml:space="preserve">principales </w:t>
      </w:r>
      <w:r w:rsidR="00870E95">
        <w:t>parties prenantes</w:t>
      </w:r>
      <w:r w:rsidR="00FC4721">
        <w:t xml:space="preserve"> </w:t>
      </w:r>
      <w:r w:rsidR="00E2690F">
        <w:t xml:space="preserve">concernées </w:t>
      </w:r>
      <w:r w:rsidR="00FC4721">
        <w:t>s</w:t>
      </w:r>
      <w:r>
        <w:t>er</w:t>
      </w:r>
      <w:r w:rsidR="00FC4721">
        <w:t>ont appelé</w:t>
      </w:r>
      <w:r w:rsidR="00870E95">
        <w:t>e</w:t>
      </w:r>
      <w:r w:rsidR="00FC4721">
        <w:t xml:space="preserve">s à jouer </w:t>
      </w:r>
      <w:r w:rsidR="00622AD2">
        <w:t xml:space="preserve">dans les prochains mois </w:t>
      </w:r>
      <w:r w:rsidR="004929DE">
        <w:t>un</w:t>
      </w:r>
      <w:r w:rsidR="007712FE">
        <w:t xml:space="preserve"> rôle décisif en vue d’infléchir</w:t>
      </w:r>
      <w:r w:rsidR="004929DE">
        <w:t xml:space="preserve"> le</w:t>
      </w:r>
      <w:r w:rsidR="00D70D5A">
        <w:t xml:space="preserve">s missions et les </w:t>
      </w:r>
      <w:r w:rsidR="004929DE">
        <w:t>comp</w:t>
      </w:r>
      <w:r w:rsidR="00357974">
        <w:t>ort</w:t>
      </w:r>
      <w:r w:rsidR="00870E95">
        <w:t>ement</w:t>
      </w:r>
      <w:r w:rsidR="00D70D5A">
        <w:t>s</w:t>
      </w:r>
      <w:r w:rsidR="00870E95">
        <w:t xml:space="preserve"> des banques centrales</w:t>
      </w:r>
      <w:r>
        <w:t xml:space="preserve"> par la mise en place d</w:t>
      </w:r>
      <w:r w:rsidR="0034139C">
        <w:t>e</w:t>
      </w:r>
      <w:r w:rsidR="00253DE7">
        <w:t xml:space="preserve"> nouveaux </w:t>
      </w:r>
      <w:r w:rsidR="0034139C">
        <w:t>instruments financiers adaptés</w:t>
      </w:r>
      <w:r w:rsidR="0033185A">
        <w:t xml:space="preserve"> au renforcement des fonds propres</w:t>
      </w:r>
      <w:r w:rsidR="0034139C">
        <w:t>, de type titres participatifs, subordonnés ou hybrides</w:t>
      </w:r>
      <w:r w:rsidR="005D1B70">
        <w:t xml:space="preserve">, </w:t>
      </w:r>
      <w:r w:rsidR="00FA523A">
        <w:t>conçus pour servir</w:t>
      </w:r>
      <w:r w:rsidR="005D1B70">
        <w:t xml:space="preserve"> simultanément les intérêts des épargnants et </w:t>
      </w:r>
      <w:r w:rsidR="00CE14D9">
        <w:t xml:space="preserve">le dynamisme </w:t>
      </w:r>
      <w:r w:rsidR="005D1B70">
        <w:t>des entrepreneurs</w:t>
      </w:r>
      <w:r w:rsidR="00BB62F2">
        <w:t xml:space="preserve">. </w:t>
      </w:r>
      <w:r w:rsidR="00902DC3">
        <w:t xml:space="preserve">Arès tout, le recours massif à la monétisation de la dette publique ne faisait pas partie des pratiques courantes des banques centrales. Les contentieux introduits devant la Cour Constitutionnelle de Karlruhe tentent d’en démontre l’irrégularité. Les </w:t>
      </w:r>
      <w:r w:rsidR="00CE7C55">
        <w:t xml:space="preserve"> évolutions</w:t>
      </w:r>
      <w:r w:rsidR="00902DC3">
        <w:t xml:space="preserve"> </w:t>
      </w:r>
      <w:r w:rsidR="00CE7C55">
        <w:t xml:space="preserve"> </w:t>
      </w:r>
      <w:r w:rsidR="00902DC3">
        <w:t xml:space="preserve">suggérées ici </w:t>
      </w:r>
      <w:r w:rsidR="00CE7C55">
        <w:t>inciteraient</w:t>
      </w:r>
      <w:r w:rsidR="0034139C">
        <w:t xml:space="preserve"> </w:t>
      </w:r>
      <w:r w:rsidR="00902DC3">
        <w:t xml:space="preserve">de jure </w:t>
      </w:r>
      <w:r w:rsidR="00BB62F2">
        <w:t xml:space="preserve"> </w:t>
      </w:r>
      <w:r w:rsidR="0034139C">
        <w:t xml:space="preserve">à une </w:t>
      </w:r>
      <w:r w:rsidR="005908D4">
        <w:t>adaptation</w:t>
      </w:r>
      <w:r w:rsidR="0034139C">
        <w:t xml:space="preserve"> </w:t>
      </w:r>
      <w:r w:rsidR="00902DC3">
        <w:t xml:space="preserve">sans doute </w:t>
      </w:r>
      <w:r w:rsidR="005908D4">
        <w:t>nécessaire</w:t>
      </w:r>
      <w:r w:rsidR="00FA523A">
        <w:t xml:space="preserve"> </w:t>
      </w:r>
      <w:r w:rsidR="0034139C">
        <w:t>de</w:t>
      </w:r>
      <w:r w:rsidR="00853EF9">
        <w:t xml:space="preserve">s </w:t>
      </w:r>
      <w:r w:rsidR="007712FE">
        <w:t>statuts</w:t>
      </w:r>
      <w:r w:rsidR="00870E95">
        <w:t xml:space="preserve"> </w:t>
      </w:r>
      <w:r w:rsidR="0034139C">
        <w:t xml:space="preserve">des banques centrales dans le sens du service à l’économie </w:t>
      </w:r>
      <w:r w:rsidR="00FC75FA">
        <w:t xml:space="preserve">réelle </w:t>
      </w:r>
      <w:r w:rsidR="0034139C">
        <w:t>et à l’emploi</w:t>
      </w:r>
      <w:r w:rsidR="00FC75FA">
        <w:t xml:space="preserve"> durable</w:t>
      </w:r>
      <w:r w:rsidR="00FC4721">
        <w:t>.</w:t>
      </w:r>
      <w:r w:rsidR="009C3A75">
        <w:t xml:space="preserve"> Du </w:t>
      </w:r>
      <w:r w:rsidR="00853EF9">
        <w:t>succès de ces</w:t>
      </w:r>
      <w:r w:rsidR="009C3A75">
        <w:t xml:space="preserve"> </w:t>
      </w:r>
      <w:r w:rsidR="008631C6">
        <w:t xml:space="preserve">nouvelles </w:t>
      </w:r>
      <w:r w:rsidR="009C3A75">
        <w:t>démarches</w:t>
      </w:r>
      <w:r w:rsidR="00252C2F">
        <w:t xml:space="preserve"> </w:t>
      </w:r>
      <w:r w:rsidR="00FC75FA">
        <w:t>coordonnées</w:t>
      </w:r>
      <w:r w:rsidR="005908D4">
        <w:t xml:space="preserve"> par l’Allemagne et la France</w:t>
      </w:r>
      <w:r w:rsidR="00252C2F">
        <w:t>,</w:t>
      </w:r>
      <w:r w:rsidR="004929DE">
        <w:t xml:space="preserve"> </w:t>
      </w:r>
      <w:r w:rsidR="00357974">
        <w:t>qu’il faut souhaiter</w:t>
      </w:r>
      <w:r w:rsidR="004929DE">
        <w:t xml:space="preserve"> concrètes </w:t>
      </w:r>
      <w:r w:rsidR="009079D8">
        <w:t xml:space="preserve">et rapides </w:t>
      </w:r>
      <w:r w:rsidR="00D901D5">
        <w:t>au service de nos sociétés démocratiques</w:t>
      </w:r>
      <w:r w:rsidR="00357974">
        <w:t>,</w:t>
      </w:r>
      <w:r w:rsidR="009C3A75">
        <w:t xml:space="preserve"> dépendra</w:t>
      </w:r>
      <w:r w:rsidR="00B229F6">
        <w:t xml:space="preserve"> </w:t>
      </w:r>
      <w:r w:rsidR="009C3A75">
        <w:t xml:space="preserve">la survie du modèle de solidarité </w:t>
      </w:r>
      <w:r w:rsidR="00727626">
        <w:t xml:space="preserve">intergénérationnelle et </w:t>
      </w:r>
      <w:r w:rsidR="009C3A75">
        <w:t>sociale</w:t>
      </w:r>
      <w:r w:rsidR="00AF7238">
        <w:t>,</w:t>
      </w:r>
      <w:r w:rsidR="009C3A75">
        <w:t xml:space="preserve"> </w:t>
      </w:r>
      <w:r w:rsidR="00252C2F">
        <w:t>tel que le prône</w:t>
      </w:r>
      <w:r w:rsidR="009C3A75">
        <w:t xml:space="preserve"> l’Union Européenne.</w:t>
      </w:r>
      <w:r w:rsidR="00FA4587">
        <w:t xml:space="preserve"> </w:t>
      </w:r>
      <w:r w:rsidR="00C063C5">
        <w:t xml:space="preserve"> </w:t>
      </w:r>
    </w:p>
    <w:p w14:paraId="476D9E03" w14:textId="5353A870" w:rsidR="008631C6" w:rsidRDefault="008631C6" w:rsidP="00E82199">
      <w:pPr>
        <w:jc w:val="both"/>
      </w:pPr>
    </w:p>
    <w:p w14:paraId="4B71B83D" w14:textId="64B5D70C" w:rsidR="008631C6" w:rsidRDefault="008631C6" w:rsidP="00E82199">
      <w:pPr>
        <w:jc w:val="both"/>
      </w:pPr>
    </w:p>
    <w:p w14:paraId="2F07CDDD" w14:textId="77777777" w:rsidR="008631C6" w:rsidRDefault="008631C6" w:rsidP="00E82199">
      <w:pPr>
        <w:jc w:val="both"/>
      </w:pPr>
    </w:p>
    <w:p w14:paraId="3308D35F" w14:textId="77777777" w:rsidR="001F5B59" w:rsidRDefault="001F5B59" w:rsidP="00E82199">
      <w:pPr>
        <w:jc w:val="both"/>
      </w:pPr>
    </w:p>
    <w:p w14:paraId="7DCE7C25" w14:textId="77777777" w:rsidR="000269D7" w:rsidRDefault="000269D7" w:rsidP="00E82199">
      <w:pPr>
        <w:jc w:val="both"/>
      </w:pPr>
    </w:p>
    <w:p w14:paraId="6BC2829F" w14:textId="77777777" w:rsidR="000269D7" w:rsidRDefault="000269D7" w:rsidP="00E82199">
      <w:pPr>
        <w:jc w:val="both"/>
      </w:pPr>
    </w:p>
    <w:p w14:paraId="3451592C" w14:textId="73549912" w:rsidR="007E7190" w:rsidRDefault="002A1819" w:rsidP="00E82199">
      <w:pPr>
        <w:jc w:val="both"/>
      </w:pPr>
      <w:r>
        <w:t xml:space="preserve"> </w:t>
      </w:r>
      <w:r w:rsidR="00AF7238">
        <w:t>(*)</w:t>
      </w:r>
      <w:r w:rsidR="00085450">
        <w:t xml:space="preserve"> </w:t>
      </w:r>
      <w:r w:rsidR="0033185A">
        <w:t>Membre du conseil scientifique d’</w:t>
      </w:r>
      <w:r w:rsidR="00310F26">
        <w:t>« </w:t>
      </w:r>
      <w:r w:rsidR="0033185A">
        <w:t>Allemagne d’Aujourd’hui</w:t>
      </w:r>
      <w:r w:rsidR="00310F26">
        <w:t> »</w:t>
      </w:r>
      <w:r w:rsidR="00016B42">
        <w:t xml:space="preserve"> </w:t>
      </w:r>
      <w:r w:rsidR="00437A4C">
        <w:t>-</w:t>
      </w:r>
      <w:r w:rsidR="00016B42">
        <w:t xml:space="preserve"> </w:t>
      </w:r>
      <w:r w:rsidR="00AF7238">
        <w:t xml:space="preserve">Ancien </w:t>
      </w:r>
      <w:r w:rsidR="00085450">
        <w:t>président et</w:t>
      </w:r>
      <w:r w:rsidR="00870E95">
        <w:t xml:space="preserve"> </w:t>
      </w:r>
      <w:r w:rsidR="00AF7238">
        <w:t>directeur général de compagnies d’assurances</w:t>
      </w:r>
      <w:r w:rsidR="00870E95">
        <w:t xml:space="preserve"> en Allemagne et en France</w:t>
      </w:r>
      <w:r w:rsidR="00AF7238">
        <w:t>, enseignant d’audit et finances à HEC-Paris</w:t>
      </w:r>
      <w:r w:rsidR="00FA523A">
        <w:t xml:space="preserve">, DG du Groupe ESSEC </w:t>
      </w:r>
      <w:r w:rsidR="008C0ABF">
        <w:t xml:space="preserve">et </w:t>
      </w:r>
      <w:r w:rsidR="00FA523A">
        <w:t xml:space="preserve">doyen des professeurs de </w:t>
      </w:r>
      <w:r w:rsidR="008C0ABF">
        <w:t>SKEMA</w:t>
      </w:r>
      <w:r w:rsidR="00084A4C">
        <w:t>-Sophia Antipolis</w:t>
      </w:r>
      <w:r w:rsidR="000269D7">
        <w:t>. A</w:t>
      </w:r>
      <w:r w:rsidR="00AF7238">
        <w:t>uteur de 4 ouvrages de référenc</w:t>
      </w:r>
      <w:r w:rsidR="00357974">
        <w:t>e et d’</w:t>
      </w:r>
      <w:r w:rsidR="00D22229">
        <w:t>une cinquantaine d’</w:t>
      </w:r>
      <w:r w:rsidR="00357974">
        <w:t>articles de fonds sur l’économie financière</w:t>
      </w:r>
      <w:r w:rsidR="00AF7238">
        <w:t>.</w:t>
      </w:r>
      <w:r w:rsidR="000A5DD0">
        <w:t xml:space="preserve"> Exper</w:t>
      </w:r>
      <w:r w:rsidR="00073648">
        <w:t xml:space="preserve">t judiciaire financier (H) </w:t>
      </w:r>
      <w:r w:rsidR="00016B42">
        <w:t xml:space="preserve">près la </w:t>
      </w:r>
      <w:r w:rsidR="00073648">
        <w:t>C</w:t>
      </w:r>
      <w:r w:rsidR="00FC75FA">
        <w:t>our d’</w:t>
      </w:r>
      <w:r w:rsidR="00073648">
        <w:t>A</w:t>
      </w:r>
      <w:r w:rsidR="00FC75FA">
        <w:t xml:space="preserve">ppel de </w:t>
      </w:r>
      <w:r w:rsidR="00073648">
        <w:t>Paris</w:t>
      </w:r>
      <w:r w:rsidR="000A5DD0">
        <w:t>.</w:t>
      </w:r>
      <w:r w:rsidR="00C063C5">
        <w:t xml:space="preserve"> </w:t>
      </w:r>
    </w:p>
    <w:p w14:paraId="3DD1B93B" w14:textId="62C4D5F7" w:rsidR="0034139C" w:rsidRDefault="0034139C" w:rsidP="00E82199">
      <w:pPr>
        <w:jc w:val="both"/>
      </w:pPr>
      <w:r>
        <w:t>Les arguments</w:t>
      </w:r>
      <w:r w:rsidR="00073648">
        <w:t xml:space="preserve"> dévelop</w:t>
      </w:r>
      <w:r w:rsidR="00BA29DC">
        <w:t>p</w:t>
      </w:r>
      <w:r w:rsidR="00073648">
        <w:t>ant</w:t>
      </w:r>
      <w:r w:rsidR="00437A4C">
        <w:t xml:space="preserve"> les </w:t>
      </w:r>
      <w:r w:rsidR="000A4475">
        <w:t>principa</w:t>
      </w:r>
      <w:r w:rsidR="00745D82">
        <w:t>ux thèmes</w:t>
      </w:r>
      <w:r>
        <w:t xml:space="preserve"> </w:t>
      </w:r>
      <w:r w:rsidR="00437A4C">
        <w:t xml:space="preserve">résumés </w:t>
      </w:r>
      <w:r>
        <w:t>ici sont publiés dans la revue « Allemagne d’Aujourd’hui » N°233</w:t>
      </w:r>
      <w:r w:rsidR="00D15345">
        <w:t>-troisième</w:t>
      </w:r>
      <w:r w:rsidR="00D02A45">
        <w:t xml:space="preserve"> </w:t>
      </w:r>
      <w:r>
        <w:t>trimestre 2020</w:t>
      </w:r>
      <w:r w:rsidR="00D22229">
        <w:t> ;</w:t>
      </w:r>
      <w:r w:rsidR="00A20554">
        <w:t xml:space="preserve"> </w:t>
      </w:r>
      <w:r w:rsidR="006B3AB3">
        <w:t xml:space="preserve">le </w:t>
      </w:r>
      <w:r w:rsidR="00D02A45">
        <w:t xml:space="preserve">texte complet </w:t>
      </w:r>
      <w:r w:rsidR="006B3AB3">
        <w:t xml:space="preserve">est </w:t>
      </w:r>
      <w:r w:rsidR="00A20554">
        <w:t>disponible sur le site :</w:t>
      </w:r>
      <w:r w:rsidR="00D02A45">
        <w:t xml:space="preserve"> </w:t>
      </w:r>
      <w:hyperlink r:id="rId8" w:history="1">
        <w:r w:rsidR="00D22229" w:rsidRPr="00ED3442">
          <w:rPr>
            <w:rStyle w:val="Lienhypertexte"/>
          </w:rPr>
          <w:t>www.cairn.info</w:t>
        </w:r>
      </w:hyperlink>
      <w:r>
        <w:t>.</w:t>
      </w:r>
      <w:bookmarkEnd w:id="0"/>
    </w:p>
    <w:p w14:paraId="6BCE06FB" w14:textId="409C2808" w:rsidR="00D22229" w:rsidRPr="00312921" w:rsidRDefault="00D22229" w:rsidP="00E82199">
      <w:pPr>
        <w:jc w:val="both"/>
      </w:pPr>
      <w:r>
        <w:lastRenderedPageBreak/>
        <w:t xml:space="preserve">L’auteur a rédigé des annexes </w:t>
      </w:r>
      <w:r w:rsidR="009A53F0">
        <w:t>(</w:t>
      </w:r>
      <w:r>
        <w:t>non publiées</w:t>
      </w:r>
      <w:r w:rsidR="009A53F0">
        <w:t>)</w:t>
      </w:r>
      <w:r>
        <w:t xml:space="preserve"> </w:t>
      </w:r>
      <w:r w:rsidR="00965D29">
        <w:t>concernant</w:t>
      </w:r>
      <w:r>
        <w:t xml:space="preserve"> les dispositifs </w:t>
      </w:r>
      <w:r w:rsidR="009A53F0">
        <w:t xml:space="preserve">détaillés </w:t>
      </w:r>
      <w:r>
        <w:t>de</w:t>
      </w:r>
      <w:r w:rsidR="009A53F0">
        <w:t>s</w:t>
      </w:r>
      <w:r>
        <w:t xml:space="preserve"> techniques financières correspondant aux solutions proposées</w:t>
      </w:r>
      <w:r w:rsidR="00784B64">
        <w:t xml:space="preserve"> dans le cadre de cet article</w:t>
      </w:r>
      <w:r>
        <w:t>.</w:t>
      </w:r>
    </w:p>
    <w:sectPr w:rsidR="00D22229" w:rsidRPr="00312921" w:rsidSect="006B2E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1C49" w14:textId="77777777" w:rsidR="00DD0CC6" w:rsidRDefault="00DD0CC6" w:rsidP="00E82199">
      <w:pPr>
        <w:spacing w:after="0" w:line="240" w:lineRule="auto"/>
      </w:pPr>
      <w:r>
        <w:separator/>
      </w:r>
    </w:p>
  </w:endnote>
  <w:endnote w:type="continuationSeparator" w:id="0">
    <w:p w14:paraId="003560FE" w14:textId="77777777" w:rsidR="00DD0CC6" w:rsidRDefault="00DD0CC6" w:rsidP="00E8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045111"/>
      <w:docPartObj>
        <w:docPartGallery w:val="Page Numbers (Bottom of Page)"/>
        <w:docPartUnique/>
      </w:docPartObj>
    </w:sdtPr>
    <w:sdtEndPr/>
    <w:sdtContent>
      <w:p w14:paraId="177F011A" w14:textId="77777777" w:rsidR="00385452" w:rsidRDefault="00CB13D5">
        <w:pPr>
          <w:pStyle w:val="Pieddepage"/>
          <w:jc w:val="center"/>
        </w:pPr>
        <w:r>
          <w:fldChar w:fldCharType="begin"/>
        </w:r>
        <w:r>
          <w:instrText xml:space="preserve"> PAGE   \* MERGEFORMAT </w:instrText>
        </w:r>
        <w:r>
          <w:fldChar w:fldCharType="separate"/>
        </w:r>
        <w:r w:rsidR="00BA29DC">
          <w:rPr>
            <w:noProof/>
          </w:rPr>
          <w:t>12</w:t>
        </w:r>
        <w:r>
          <w:rPr>
            <w:noProof/>
          </w:rPr>
          <w:fldChar w:fldCharType="end"/>
        </w:r>
      </w:p>
    </w:sdtContent>
  </w:sdt>
  <w:p w14:paraId="7E59F5EB" w14:textId="77777777" w:rsidR="00385452" w:rsidRDefault="003854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49242" w14:textId="77777777" w:rsidR="00DD0CC6" w:rsidRDefault="00DD0CC6" w:rsidP="00E82199">
      <w:pPr>
        <w:spacing w:after="0" w:line="240" w:lineRule="auto"/>
      </w:pPr>
      <w:r>
        <w:separator/>
      </w:r>
    </w:p>
  </w:footnote>
  <w:footnote w:type="continuationSeparator" w:id="0">
    <w:p w14:paraId="6B87B942" w14:textId="77777777" w:rsidR="00DD0CC6" w:rsidRDefault="00DD0CC6" w:rsidP="00E82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252E"/>
    <w:multiLevelType w:val="hybridMultilevel"/>
    <w:tmpl w:val="ACBAEB50"/>
    <w:lvl w:ilvl="0" w:tplc="5F18A56C">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 w15:restartNumberingAfterBreak="0">
    <w:nsid w:val="2F99409A"/>
    <w:multiLevelType w:val="hybridMultilevel"/>
    <w:tmpl w:val="82D21F3C"/>
    <w:lvl w:ilvl="0" w:tplc="8246597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BA5E4F"/>
    <w:multiLevelType w:val="hybridMultilevel"/>
    <w:tmpl w:val="3CC0E7A2"/>
    <w:lvl w:ilvl="0" w:tplc="B542468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F70F9B"/>
    <w:multiLevelType w:val="hybridMultilevel"/>
    <w:tmpl w:val="7CC61D6E"/>
    <w:lvl w:ilvl="0" w:tplc="040C0011">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570"/>
    <w:rsid w:val="0000278F"/>
    <w:rsid w:val="00006B04"/>
    <w:rsid w:val="00013DE7"/>
    <w:rsid w:val="00016B42"/>
    <w:rsid w:val="00023AD8"/>
    <w:rsid w:val="000259D3"/>
    <w:rsid w:val="000269D7"/>
    <w:rsid w:val="00030A2F"/>
    <w:rsid w:val="00031168"/>
    <w:rsid w:val="00042556"/>
    <w:rsid w:val="00046520"/>
    <w:rsid w:val="00052092"/>
    <w:rsid w:val="00053677"/>
    <w:rsid w:val="000536D2"/>
    <w:rsid w:val="0005541A"/>
    <w:rsid w:val="0006254C"/>
    <w:rsid w:val="00062EAE"/>
    <w:rsid w:val="000656E4"/>
    <w:rsid w:val="00071873"/>
    <w:rsid w:val="00071B2C"/>
    <w:rsid w:val="00073648"/>
    <w:rsid w:val="00073869"/>
    <w:rsid w:val="00073E19"/>
    <w:rsid w:val="000743A3"/>
    <w:rsid w:val="0007626F"/>
    <w:rsid w:val="00084A4C"/>
    <w:rsid w:val="00085450"/>
    <w:rsid w:val="0008713E"/>
    <w:rsid w:val="0009334E"/>
    <w:rsid w:val="0009589C"/>
    <w:rsid w:val="00097263"/>
    <w:rsid w:val="000A0A58"/>
    <w:rsid w:val="000A0C18"/>
    <w:rsid w:val="000A4475"/>
    <w:rsid w:val="000A5DD0"/>
    <w:rsid w:val="000B5F43"/>
    <w:rsid w:val="000C089F"/>
    <w:rsid w:val="000C21A7"/>
    <w:rsid w:val="000C55CE"/>
    <w:rsid w:val="000D54C2"/>
    <w:rsid w:val="000E0ED1"/>
    <w:rsid w:val="00117674"/>
    <w:rsid w:val="00122622"/>
    <w:rsid w:val="001241BB"/>
    <w:rsid w:val="001306FD"/>
    <w:rsid w:val="0013206F"/>
    <w:rsid w:val="0013531C"/>
    <w:rsid w:val="001430A6"/>
    <w:rsid w:val="00144E55"/>
    <w:rsid w:val="001507EE"/>
    <w:rsid w:val="00150A36"/>
    <w:rsid w:val="00160B5B"/>
    <w:rsid w:val="001637B4"/>
    <w:rsid w:val="00177F09"/>
    <w:rsid w:val="00183284"/>
    <w:rsid w:val="00183323"/>
    <w:rsid w:val="00186426"/>
    <w:rsid w:val="001915A6"/>
    <w:rsid w:val="00196B1F"/>
    <w:rsid w:val="001A062E"/>
    <w:rsid w:val="001C47E4"/>
    <w:rsid w:val="001C548B"/>
    <w:rsid w:val="001E4851"/>
    <w:rsid w:val="001F186A"/>
    <w:rsid w:val="001F5B59"/>
    <w:rsid w:val="001F6D96"/>
    <w:rsid w:val="0020641F"/>
    <w:rsid w:val="0020710E"/>
    <w:rsid w:val="00217774"/>
    <w:rsid w:val="00220DDC"/>
    <w:rsid w:val="0023033A"/>
    <w:rsid w:val="002410FC"/>
    <w:rsid w:val="00243F4F"/>
    <w:rsid w:val="00252C2F"/>
    <w:rsid w:val="00253238"/>
    <w:rsid w:val="00253DE7"/>
    <w:rsid w:val="00254117"/>
    <w:rsid w:val="00266EB6"/>
    <w:rsid w:val="002701EA"/>
    <w:rsid w:val="002758C6"/>
    <w:rsid w:val="002A1819"/>
    <w:rsid w:val="002B6EF4"/>
    <w:rsid w:val="002C1062"/>
    <w:rsid w:val="002C240D"/>
    <w:rsid w:val="002C38F5"/>
    <w:rsid w:val="002C4747"/>
    <w:rsid w:val="002D2C62"/>
    <w:rsid w:val="002D4B0E"/>
    <w:rsid w:val="002F10D6"/>
    <w:rsid w:val="003002BD"/>
    <w:rsid w:val="00310F26"/>
    <w:rsid w:val="00312921"/>
    <w:rsid w:val="0032205F"/>
    <w:rsid w:val="0033185A"/>
    <w:rsid w:val="00334ADE"/>
    <w:rsid w:val="0033513D"/>
    <w:rsid w:val="0034139C"/>
    <w:rsid w:val="00344570"/>
    <w:rsid w:val="00344A23"/>
    <w:rsid w:val="00345F4B"/>
    <w:rsid w:val="003507DB"/>
    <w:rsid w:val="00357974"/>
    <w:rsid w:val="00366C7B"/>
    <w:rsid w:val="00375187"/>
    <w:rsid w:val="00376CA3"/>
    <w:rsid w:val="00377732"/>
    <w:rsid w:val="003803BC"/>
    <w:rsid w:val="00385452"/>
    <w:rsid w:val="003870B5"/>
    <w:rsid w:val="003870F1"/>
    <w:rsid w:val="003A2930"/>
    <w:rsid w:val="003A4129"/>
    <w:rsid w:val="003B5D24"/>
    <w:rsid w:val="003C01A2"/>
    <w:rsid w:val="003C0CC0"/>
    <w:rsid w:val="003C0DC1"/>
    <w:rsid w:val="003E0A4D"/>
    <w:rsid w:val="003E7D4B"/>
    <w:rsid w:val="00437A4C"/>
    <w:rsid w:val="004417FE"/>
    <w:rsid w:val="00445D2D"/>
    <w:rsid w:val="00451C29"/>
    <w:rsid w:val="00461347"/>
    <w:rsid w:val="004621FE"/>
    <w:rsid w:val="004651BF"/>
    <w:rsid w:val="00475967"/>
    <w:rsid w:val="00490080"/>
    <w:rsid w:val="004929DE"/>
    <w:rsid w:val="00496B78"/>
    <w:rsid w:val="004A138A"/>
    <w:rsid w:val="004C02B1"/>
    <w:rsid w:val="004C1889"/>
    <w:rsid w:val="004D2121"/>
    <w:rsid w:val="004D6204"/>
    <w:rsid w:val="004E16E8"/>
    <w:rsid w:val="004E7D18"/>
    <w:rsid w:val="004F5B05"/>
    <w:rsid w:val="00500EBE"/>
    <w:rsid w:val="00500EE1"/>
    <w:rsid w:val="005033AF"/>
    <w:rsid w:val="00514044"/>
    <w:rsid w:val="005173E7"/>
    <w:rsid w:val="00522692"/>
    <w:rsid w:val="005228DA"/>
    <w:rsid w:val="00522FCF"/>
    <w:rsid w:val="00527A75"/>
    <w:rsid w:val="00531573"/>
    <w:rsid w:val="0056157E"/>
    <w:rsid w:val="00564F79"/>
    <w:rsid w:val="00572776"/>
    <w:rsid w:val="00573CEC"/>
    <w:rsid w:val="005825E4"/>
    <w:rsid w:val="005908D4"/>
    <w:rsid w:val="00592CC2"/>
    <w:rsid w:val="00593ED7"/>
    <w:rsid w:val="005B12EF"/>
    <w:rsid w:val="005D1B70"/>
    <w:rsid w:val="005E38A9"/>
    <w:rsid w:val="005F2822"/>
    <w:rsid w:val="005F3725"/>
    <w:rsid w:val="005F7066"/>
    <w:rsid w:val="00604806"/>
    <w:rsid w:val="006058F5"/>
    <w:rsid w:val="00620697"/>
    <w:rsid w:val="00621A71"/>
    <w:rsid w:val="00622AD2"/>
    <w:rsid w:val="0063540B"/>
    <w:rsid w:val="00642AA0"/>
    <w:rsid w:val="0064725E"/>
    <w:rsid w:val="00660B24"/>
    <w:rsid w:val="00661E52"/>
    <w:rsid w:val="00674615"/>
    <w:rsid w:val="00675196"/>
    <w:rsid w:val="006765DD"/>
    <w:rsid w:val="006838B8"/>
    <w:rsid w:val="00684438"/>
    <w:rsid w:val="00692FB3"/>
    <w:rsid w:val="00696F21"/>
    <w:rsid w:val="006A2C86"/>
    <w:rsid w:val="006B0BE5"/>
    <w:rsid w:val="006B2E80"/>
    <w:rsid w:val="006B3AB3"/>
    <w:rsid w:val="006D2FF2"/>
    <w:rsid w:val="006E304E"/>
    <w:rsid w:val="00702D35"/>
    <w:rsid w:val="00702E09"/>
    <w:rsid w:val="00727626"/>
    <w:rsid w:val="0073513C"/>
    <w:rsid w:val="0073532A"/>
    <w:rsid w:val="007375B9"/>
    <w:rsid w:val="00745D82"/>
    <w:rsid w:val="00746871"/>
    <w:rsid w:val="007576FE"/>
    <w:rsid w:val="00763B3E"/>
    <w:rsid w:val="007712FE"/>
    <w:rsid w:val="00784B1D"/>
    <w:rsid w:val="00784B64"/>
    <w:rsid w:val="007A1608"/>
    <w:rsid w:val="007B13A5"/>
    <w:rsid w:val="007B22E2"/>
    <w:rsid w:val="007C6C31"/>
    <w:rsid w:val="007D09D1"/>
    <w:rsid w:val="007D33DB"/>
    <w:rsid w:val="007E0CB0"/>
    <w:rsid w:val="007E210C"/>
    <w:rsid w:val="007E25BC"/>
    <w:rsid w:val="007E3B23"/>
    <w:rsid w:val="007E7190"/>
    <w:rsid w:val="007F57BA"/>
    <w:rsid w:val="008013F5"/>
    <w:rsid w:val="00802E2F"/>
    <w:rsid w:val="00811188"/>
    <w:rsid w:val="00812622"/>
    <w:rsid w:val="00813A98"/>
    <w:rsid w:val="0082701F"/>
    <w:rsid w:val="00831590"/>
    <w:rsid w:val="0083422F"/>
    <w:rsid w:val="00836193"/>
    <w:rsid w:val="00841F2C"/>
    <w:rsid w:val="00842AB6"/>
    <w:rsid w:val="00853A19"/>
    <w:rsid w:val="00853EF9"/>
    <w:rsid w:val="0086251F"/>
    <w:rsid w:val="008631C6"/>
    <w:rsid w:val="00870E95"/>
    <w:rsid w:val="0087506F"/>
    <w:rsid w:val="008769F9"/>
    <w:rsid w:val="008772C6"/>
    <w:rsid w:val="00883E85"/>
    <w:rsid w:val="00886370"/>
    <w:rsid w:val="008906FF"/>
    <w:rsid w:val="00893591"/>
    <w:rsid w:val="008A2E81"/>
    <w:rsid w:val="008A4796"/>
    <w:rsid w:val="008B43D7"/>
    <w:rsid w:val="008B78E8"/>
    <w:rsid w:val="008C0362"/>
    <w:rsid w:val="008C058B"/>
    <w:rsid w:val="008C0ABF"/>
    <w:rsid w:val="008C3401"/>
    <w:rsid w:val="008C51F0"/>
    <w:rsid w:val="008C7ECA"/>
    <w:rsid w:val="008D63EF"/>
    <w:rsid w:val="008D7E61"/>
    <w:rsid w:val="008E17F0"/>
    <w:rsid w:val="008F5238"/>
    <w:rsid w:val="00902DC3"/>
    <w:rsid w:val="009079D8"/>
    <w:rsid w:val="00921751"/>
    <w:rsid w:val="00921CB4"/>
    <w:rsid w:val="00930330"/>
    <w:rsid w:val="00942729"/>
    <w:rsid w:val="00943FFE"/>
    <w:rsid w:val="00946E3A"/>
    <w:rsid w:val="00954AB7"/>
    <w:rsid w:val="00965710"/>
    <w:rsid w:val="00965D29"/>
    <w:rsid w:val="009744BB"/>
    <w:rsid w:val="0098724C"/>
    <w:rsid w:val="009900AA"/>
    <w:rsid w:val="009A53F0"/>
    <w:rsid w:val="009B5F0D"/>
    <w:rsid w:val="009C3A75"/>
    <w:rsid w:val="009E0ADA"/>
    <w:rsid w:val="009E5ABC"/>
    <w:rsid w:val="009F7EF7"/>
    <w:rsid w:val="00A02DAB"/>
    <w:rsid w:val="00A06D7B"/>
    <w:rsid w:val="00A10316"/>
    <w:rsid w:val="00A156FF"/>
    <w:rsid w:val="00A20554"/>
    <w:rsid w:val="00A27452"/>
    <w:rsid w:val="00A40063"/>
    <w:rsid w:val="00A45345"/>
    <w:rsid w:val="00A46612"/>
    <w:rsid w:val="00A519B2"/>
    <w:rsid w:val="00A62973"/>
    <w:rsid w:val="00A91816"/>
    <w:rsid w:val="00A96EFD"/>
    <w:rsid w:val="00AA7017"/>
    <w:rsid w:val="00AA7CCE"/>
    <w:rsid w:val="00AB49FD"/>
    <w:rsid w:val="00AB4C1E"/>
    <w:rsid w:val="00AC42B2"/>
    <w:rsid w:val="00AC521C"/>
    <w:rsid w:val="00AD55DF"/>
    <w:rsid w:val="00AE61D9"/>
    <w:rsid w:val="00AE646C"/>
    <w:rsid w:val="00AF7238"/>
    <w:rsid w:val="00B03301"/>
    <w:rsid w:val="00B034E2"/>
    <w:rsid w:val="00B11356"/>
    <w:rsid w:val="00B12E2E"/>
    <w:rsid w:val="00B16343"/>
    <w:rsid w:val="00B229F6"/>
    <w:rsid w:val="00B252D0"/>
    <w:rsid w:val="00B255AE"/>
    <w:rsid w:val="00B37AD2"/>
    <w:rsid w:val="00B45255"/>
    <w:rsid w:val="00B51302"/>
    <w:rsid w:val="00B61107"/>
    <w:rsid w:val="00B63790"/>
    <w:rsid w:val="00B65CC3"/>
    <w:rsid w:val="00B6638F"/>
    <w:rsid w:val="00B8431E"/>
    <w:rsid w:val="00B930FE"/>
    <w:rsid w:val="00BA29DC"/>
    <w:rsid w:val="00BA4EB6"/>
    <w:rsid w:val="00BA66F8"/>
    <w:rsid w:val="00BB17F6"/>
    <w:rsid w:val="00BB183C"/>
    <w:rsid w:val="00BB3A89"/>
    <w:rsid w:val="00BB5BDE"/>
    <w:rsid w:val="00BB62DF"/>
    <w:rsid w:val="00BB62F2"/>
    <w:rsid w:val="00BC0AB6"/>
    <w:rsid w:val="00BC2D4A"/>
    <w:rsid w:val="00BC7C8D"/>
    <w:rsid w:val="00BD0D5A"/>
    <w:rsid w:val="00BD3C61"/>
    <w:rsid w:val="00BD6B35"/>
    <w:rsid w:val="00BE18A8"/>
    <w:rsid w:val="00BE2708"/>
    <w:rsid w:val="00BE2BEC"/>
    <w:rsid w:val="00BE373D"/>
    <w:rsid w:val="00BF3239"/>
    <w:rsid w:val="00BF5F02"/>
    <w:rsid w:val="00BF5FEE"/>
    <w:rsid w:val="00C0633E"/>
    <w:rsid w:val="00C063C5"/>
    <w:rsid w:val="00C212DB"/>
    <w:rsid w:val="00C213CE"/>
    <w:rsid w:val="00C2457A"/>
    <w:rsid w:val="00C27B86"/>
    <w:rsid w:val="00C3791C"/>
    <w:rsid w:val="00C409A1"/>
    <w:rsid w:val="00C44D46"/>
    <w:rsid w:val="00C535F3"/>
    <w:rsid w:val="00C75386"/>
    <w:rsid w:val="00C80A11"/>
    <w:rsid w:val="00C82FA1"/>
    <w:rsid w:val="00C93211"/>
    <w:rsid w:val="00C97942"/>
    <w:rsid w:val="00CA23DD"/>
    <w:rsid w:val="00CB13D5"/>
    <w:rsid w:val="00CB23BF"/>
    <w:rsid w:val="00CC1795"/>
    <w:rsid w:val="00CC6636"/>
    <w:rsid w:val="00CD1419"/>
    <w:rsid w:val="00CD2A9D"/>
    <w:rsid w:val="00CD55CC"/>
    <w:rsid w:val="00CE14D9"/>
    <w:rsid w:val="00CE7C55"/>
    <w:rsid w:val="00D001CB"/>
    <w:rsid w:val="00D00B7A"/>
    <w:rsid w:val="00D01B0B"/>
    <w:rsid w:val="00D02874"/>
    <w:rsid w:val="00D02A45"/>
    <w:rsid w:val="00D05438"/>
    <w:rsid w:val="00D15345"/>
    <w:rsid w:val="00D16CB3"/>
    <w:rsid w:val="00D22229"/>
    <w:rsid w:val="00D311FB"/>
    <w:rsid w:val="00D345DE"/>
    <w:rsid w:val="00D34779"/>
    <w:rsid w:val="00D3542D"/>
    <w:rsid w:val="00D37CA9"/>
    <w:rsid w:val="00D4154C"/>
    <w:rsid w:val="00D45DB1"/>
    <w:rsid w:val="00D51DA6"/>
    <w:rsid w:val="00D6036B"/>
    <w:rsid w:val="00D70405"/>
    <w:rsid w:val="00D70D5A"/>
    <w:rsid w:val="00D7395C"/>
    <w:rsid w:val="00D73B19"/>
    <w:rsid w:val="00D75C6E"/>
    <w:rsid w:val="00D901D5"/>
    <w:rsid w:val="00D9321A"/>
    <w:rsid w:val="00DB3C24"/>
    <w:rsid w:val="00DB63C1"/>
    <w:rsid w:val="00DC2BE8"/>
    <w:rsid w:val="00DC6C3B"/>
    <w:rsid w:val="00DD0CC6"/>
    <w:rsid w:val="00DE52C0"/>
    <w:rsid w:val="00E02BC4"/>
    <w:rsid w:val="00E13167"/>
    <w:rsid w:val="00E20184"/>
    <w:rsid w:val="00E2690F"/>
    <w:rsid w:val="00E47E37"/>
    <w:rsid w:val="00E5100D"/>
    <w:rsid w:val="00E51302"/>
    <w:rsid w:val="00E647B7"/>
    <w:rsid w:val="00E670E1"/>
    <w:rsid w:val="00E7314E"/>
    <w:rsid w:val="00E82199"/>
    <w:rsid w:val="00E83561"/>
    <w:rsid w:val="00E83E8D"/>
    <w:rsid w:val="00E85A55"/>
    <w:rsid w:val="00E860A6"/>
    <w:rsid w:val="00E934C3"/>
    <w:rsid w:val="00E94F07"/>
    <w:rsid w:val="00E96FD4"/>
    <w:rsid w:val="00E979B0"/>
    <w:rsid w:val="00EB3038"/>
    <w:rsid w:val="00EB72A6"/>
    <w:rsid w:val="00EC783D"/>
    <w:rsid w:val="00ED2114"/>
    <w:rsid w:val="00EE3D4D"/>
    <w:rsid w:val="00EE6205"/>
    <w:rsid w:val="00EE741D"/>
    <w:rsid w:val="00EF1B01"/>
    <w:rsid w:val="00EF47EE"/>
    <w:rsid w:val="00F00CD5"/>
    <w:rsid w:val="00F0164A"/>
    <w:rsid w:val="00F06598"/>
    <w:rsid w:val="00F160F1"/>
    <w:rsid w:val="00F30CE0"/>
    <w:rsid w:val="00F368DC"/>
    <w:rsid w:val="00F42082"/>
    <w:rsid w:val="00F572C3"/>
    <w:rsid w:val="00F60F56"/>
    <w:rsid w:val="00F73EA1"/>
    <w:rsid w:val="00F75D6C"/>
    <w:rsid w:val="00F8006C"/>
    <w:rsid w:val="00F80366"/>
    <w:rsid w:val="00FA4587"/>
    <w:rsid w:val="00FA523A"/>
    <w:rsid w:val="00FB298F"/>
    <w:rsid w:val="00FC06DB"/>
    <w:rsid w:val="00FC0E1E"/>
    <w:rsid w:val="00FC2B4D"/>
    <w:rsid w:val="00FC4721"/>
    <w:rsid w:val="00FC5EA3"/>
    <w:rsid w:val="00FC75FA"/>
    <w:rsid w:val="00FD5714"/>
    <w:rsid w:val="00FD7D9B"/>
    <w:rsid w:val="00FE0287"/>
    <w:rsid w:val="00FE3543"/>
    <w:rsid w:val="00FE49C7"/>
    <w:rsid w:val="00FE7F87"/>
    <w:rsid w:val="00FF39C3"/>
    <w:rsid w:val="00FF4B55"/>
    <w:rsid w:val="00FF6C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DC27"/>
  <w15:docId w15:val="{0BCC4225-FD90-4064-9708-8D9CF64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E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23BF"/>
    <w:pPr>
      <w:ind w:left="720"/>
      <w:contextualSpacing/>
    </w:pPr>
  </w:style>
  <w:style w:type="paragraph" w:styleId="En-tte">
    <w:name w:val="header"/>
    <w:basedOn w:val="Normal"/>
    <w:link w:val="En-tteCar"/>
    <w:uiPriority w:val="99"/>
    <w:unhideWhenUsed/>
    <w:rsid w:val="00E82199"/>
    <w:pPr>
      <w:tabs>
        <w:tab w:val="center" w:pos="4536"/>
        <w:tab w:val="right" w:pos="9072"/>
      </w:tabs>
      <w:spacing w:after="0" w:line="240" w:lineRule="auto"/>
    </w:pPr>
  </w:style>
  <w:style w:type="character" w:customStyle="1" w:styleId="En-tteCar">
    <w:name w:val="En-tête Car"/>
    <w:basedOn w:val="Policepardfaut"/>
    <w:link w:val="En-tte"/>
    <w:uiPriority w:val="99"/>
    <w:rsid w:val="00E82199"/>
  </w:style>
  <w:style w:type="paragraph" w:styleId="Pieddepage">
    <w:name w:val="footer"/>
    <w:basedOn w:val="Normal"/>
    <w:link w:val="PieddepageCar"/>
    <w:uiPriority w:val="99"/>
    <w:unhideWhenUsed/>
    <w:rsid w:val="00E821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199"/>
  </w:style>
  <w:style w:type="paragraph" w:styleId="Textedebulles">
    <w:name w:val="Balloon Text"/>
    <w:basedOn w:val="Normal"/>
    <w:link w:val="TextedebullesCar"/>
    <w:uiPriority w:val="99"/>
    <w:semiHidden/>
    <w:unhideWhenUsed/>
    <w:rsid w:val="003351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13D"/>
    <w:rPr>
      <w:rFonts w:ascii="Segoe UI" w:hAnsi="Segoe UI" w:cs="Segoe UI"/>
      <w:sz w:val="18"/>
      <w:szCs w:val="18"/>
    </w:rPr>
  </w:style>
  <w:style w:type="character" w:styleId="Lienhypertexte">
    <w:name w:val="Hyperlink"/>
    <w:basedOn w:val="Policepardfaut"/>
    <w:uiPriority w:val="99"/>
    <w:unhideWhenUsed/>
    <w:rsid w:val="00D22229"/>
    <w:rPr>
      <w:color w:val="0563C1" w:themeColor="hyperlink"/>
      <w:u w:val="single"/>
    </w:rPr>
  </w:style>
  <w:style w:type="character" w:styleId="Mentionnonrsolue">
    <w:name w:val="Unresolved Mention"/>
    <w:basedOn w:val="Policepardfaut"/>
    <w:uiPriority w:val="99"/>
    <w:semiHidden/>
    <w:unhideWhenUsed/>
    <w:rsid w:val="00D2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61057-A7F6-4088-A219-1D5B9096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Pages>
  <Words>10380</Words>
  <Characters>57091</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Marie-France LE MAGUER</dc:creator>
  <cp:lastModifiedBy>Gerard Valin</cp:lastModifiedBy>
  <cp:revision>171</cp:revision>
  <cp:lastPrinted>2020-09-07T05:39:00Z</cp:lastPrinted>
  <dcterms:created xsi:type="dcterms:W3CDTF">2020-06-24T19:29:00Z</dcterms:created>
  <dcterms:modified xsi:type="dcterms:W3CDTF">2020-11-07T08:31:00Z</dcterms:modified>
</cp:coreProperties>
</file>